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76" w:lineRule="exact"/>
        <w:ind w:left="0" w:leftChars="0" w:right="0" w:rightChars="0"/>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w:t>
      </w:r>
    </w:p>
    <w:p>
      <w:pPr>
        <w:keepNext w:val="0"/>
        <w:keepLines w:val="0"/>
        <w:pageBreakBefore w:val="0"/>
        <w:widowControl w:val="0"/>
        <w:kinsoku/>
        <w:wordWrap/>
        <w:overflowPunct/>
        <w:topLinePunct w:val="0"/>
        <w:bidi w:val="0"/>
        <w:snapToGrid/>
        <w:spacing w:line="576" w:lineRule="exact"/>
        <w:ind w:left="0" w:leftChars="0" w:right="0" w:rightChars="0"/>
        <w:textAlignment w:val="auto"/>
        <w:outlineLvl w:val="9"/>
        <w:rPr>
          <w:rFonts w:ascii="仿宋" w:hAnsi="仿宋" w:eastAsia="仿宋"/>
          <w:sz w:val="32"/>
          <w:szCs w:val="32"/>
        </w:rPr>
      </w:pPr>
    </w:p>
    <w:p>
      <w:pPr>
        <w:keepNext w:val="0"/>
        <w:keepLines w:val="0"/>
        <w:pageBreakBefore w:val="0"/>
        <w:widowControl w:val="0"/>
        <w:kinsoku/>
        <w:wordWrap/>
        <w:overflowPunct/>
        <w:topLinePunct w:val="0"/>
        <w:bidi w:val="0"/>
        <w:snapToGrid/>
        <w:spacing w:line="576" w:lineRule="exact"/>
        <w:ind w:left="0" w:leftChars="0" w:right="0" w:rightChars="0"/>
        <w:jc w:val="center"/>
        <w:textAlignment w:val="auto"/>
        <w:outlineLvl w:val="9"/>
        <w:rPr>
          <w:rFonts w:hint="eastAsia" w:ascii="方正小标宋简体" w:hAnsi="仿宋" w:eastAsia="方正小标宋简体"/>
          <w:sz w:val="44"/>
          <w:szCs w:val="44"/>
          <w:lang w:eastAsia="zh-CN"/>
        </w:rPr>
      </w:pPr>
    </w:p>
    <w:p>
      <w:pPr>
        <w:keepNext w:val="0"/>
        <w:keepLines w:val="0"/>
        <w:pageBreakBefore w:val="0"/>
        <w:widowControl w:val="0"/>
        <w:kinsoku/>
        <w:wordWrap/>
        <w:overflowPunct/>
        <w:topLinePunct w:val="0"/>
        <w:bidi w:val="0"/>
        <w:snapToGrid/>
        <w:spacing w:line="576" w:lineRule="exact"/>
        <w:ind w:left="0" w:leftChars="0" w:right="0" w:rightChars="0"/>
        <w:jc w:val="center"/>
        <w:textAlignment w:val="auto"/>
        <w:outlineLvl w:val="9"/>
        <w:rPr>
          <w:rFonts w:hint="eastAsia" w:ascii="方正小标宋简体" w:hAnsi="仿宋" w:eastAsia="方正小标宋简体"/>
          <w:sz w:val="44"/>
          <w:szCs w:val="44"/>
          <w:lang w:eastAsia="zh-CN"/>
        </w:rPr>
      </w:pPr>
    </w:p>
    <w:p>
      <w:pPr>
        <w:keepNext w:val="0"/>
        <w:keepLines w:val="0"/>
        <w:pageBreakBefore w:val="0"/>
        <w:widowControl w:val="0"/>
        <w:kinsoku/>
        <w:wordWrap/>
        <w:overflowPunct/>
        <w:topLinePunct w:val="0"/>
        <w:bidi w:val="0"/>
        <w:snapToGrid/>
        <w:spacing w:line="576" w:lineRule="exact"/>
        <w:ind w:left="0" w:leftChars="0" w:right="0" w:rightChars="0"/>
        <w:jc w:val="center"/>
        <w:textAlignment w:val="auto"/>
        <w:outlineLvl w:val="9"/>
        <w:rPr>
          <w:rFonts w:hint="eastAsia" w:ascii="方正小标宋简体" w:hAnsi="仿宋" w:eastAsia="方正小标宋简体"/>
          <w:sz w:val="44"/>
          <w:szCs w:val="44"/>
          <w:lang w:eastAsia="zh-CN"/>
        </w:rPr>
      </w:pPr>
    </w:p>
    <w:p>
      <w:pPr>
        <w:keepNext w:val="0"/>
        <w:keepLines w:val="0"/>
        <w:pageBreakBefore w:val="0"/>
        <w:widowControl w:val="0"/>
        <w:kinsoku/>
        <w:wordWrap/>
        <w:overflowPunct/>
        <w:topLinePunct w:val="0"/>
        <w:bidi w:val="0"/>
        <w:snapToGrid/>
        <w:spacing w:line="576" w:lineRule="exact"/>
        <w:ind w:left="0" w:leftChars="0" w:right="0" w:rightChars="0"/>
        <w:jc w:val="center"/>
        <w:textAlignment w:val="auto"/>
        <w:outlineLvl w:val="9"/>
        <w:rPr>
          <w:rFonts w:hint="eastAsia" w:ascii="方正小标宋简体" w:hAnsi="仿宋" w:eastAsia="方正小标宋简体"/>
          <w:sz w:val="44"/>
          <w:szCs w:val="44"/>
          <w:lang w:eastAsia="zh-CN"/>
        </w:rPr>
      </w:pPr>
    </w:p>
    <w:p>
      <w:pPr>
        <w:keepNext w:val="0"/>
        <w:keepLines w:val="0"/>
        <w:pageBreakBefore w:val="0"/>
        <w:widowControl w:val="0"/>
        <w:kinsoku/>
        <w:wordWrap/>
        <w:overflowPunct/>
        <w:topLinePunct w:val="0"/>
        <w:bidi w:val="0"/>
        <w:snapToGrid/>
        <w:spacing w:line="576" w:lineRule="exact"/>
        <w:ind w:left="0" w:leftChars="0" w:right="0" w:rightChars="0"/>
        <w:jc w:val="center"/>
        <w:textAlignment w:val="auto"/>
        <w:outlineLvl w:val="9"/>
        <w:rPr>
          <w:rFonts w:hint="eastAsia" w:ascii="方正小标宋简体" w:hAnsi="仿宋" w:eastAsia="方正小标宋简体"/>
          <w:sz w:val="44"/>
          <w:szCs w:val="44"/>
        </w:rPr>
      </w:pPr>
      <w:r>
        <w:rPr>
          <w:rFonts w:hint="eastAsia" w:ascii="方正小标宋简体" w:hAnsi="仿宋" w:eastAsia="方正小标宋简体"/>
          <w:sz w:val="44"/>
          <w:szCs w:val="44"/>
          <w:lang w:eastAsia="zh-CN"/>
        </w:rPr>
        <w:t>那曲市公安局</w:t>
      </w:r>
      <w:r>
        <w:rPr>
          <w:rFonts w:hint="eastAsia" w:ascii="方正小标宋简体" w:hAnsi="仿宋" w:eastAsia="方正小标宋简体"/>
          <w:sz w:val="44"/>
          <w:szCs w:val="44"/>
          <w:lang w:val="en-US" w:eastAsia="zh-CN"/>
        </w:rPr>
        <w:t>交警支队</w:t>
      </w:r>
      <w:r>
        <w:rPr>
          <w:rFonts w:hint="eastAsia" w:ascii="方正小标宋简体" w:hAnsi="仿宋" w:eastAsia="方正小标宋简体"/>
          <w:sz w:val="44"/>
          <w:szCs w:val="44"/>
        </w:rPr>
        <w:t>202</w:t>
      </w:r>
      <w:r>
        <w:rPr>
          <w:rFonts w:hint="eastAsia" w:ascii="方正小标宋简体" w:hAnsi="仿宋" w:eastAsia="方正小标宋简体"/>
          <w:sz w:val="44"/>
          <w:szCs w:val="44"/>
          <w:lang w:val="en-US" w:eastAsia="zh-CN"/>
        </w:rPr>
        <w:t>6</w:t>
      </w:r>
      <w:r>
        <w:rPr>
          <w:rFonts w:hint="eastAsia" w:ascii="方正小标宋简体" w:hAnsi="仿宋" w:eastAsia="方正小标宋简体"/>
          <w:sz w:val="44"/>
          <w:szCs w:val="44"/>
        </w:rPr>
        <w:t>年度部门预算</w:t>
      </w:r>
    </w:p>
    <w:p>
      <w:pPr>
        <w:keepNext w:val="0"/>
        <w:keepLines w:val="0"/>
        <w:pageBreakBefore w:val="0"/>
        <w:widowControl w:val="0"/>
        <w:kinsoku/>
        <w:wordWrap/>
        <w:overflowPunct/>
        <w:topLinePunct w:val="0"/>
        <w:bidi w:val="0"/>
        <w:snapToGrid/>
        <w:spacing w:line="576" w:lineRule="exact"/>
        <w:ind w:left="0" w:leftChars="0" w:right="0" w:rightChars="0"/>
        <w:jc w:val="center"/>
        <w:textAlignment w:val="auto"/>
        <w:outlineLvl w:val="9"/>
        <w:rPr>
          <w:rFonts w:ascii="方正小标宋简体" w:hAnsi="仿宋" w:eastAsia="方正小标宋简体"/>
          <w:sz w:val="44"/>
          <w:szCs w:val="44"/>
        </w:rPr>
      </w:pPr>
      <w:r>
        <w:rPr>
          <w:rFonts w:hint="eastAsia" w:ascii="方正小标宋简体" w:hAnsi="仿宋" w:eastAsia="方正小标宋简体"/>
          <w:sz w:val="44"/>
          <w:szCs w:val="44"/>
          <w:lang w:eastAsia="zh-CN"/>
        </w:rPr>
        <w:t>公开</w:t>
      </w:r>
    </w:p>
    <w:p>
      <w:pPr>
        <w:keepNext w:val="0"/>
        <w:keepLines w:val="0"/>
        <w:pageBreakBefore w:val="0"/>
        <w:widowControl w:val="0"/>
        <w:kinsoku/>
        <w:wordWrap/>
        <w:overflowPunct/>
        <w:topLinePunct w:val="0"/>
        <w:bidi w:val="0"/>
        <w:snapToGrid/>
        <w:spacing w:line="576" w:lineRule="exact"/>
        <w:ind w:left="0" w:leftChars="0" w:right="0" w:rightChars="0"/>
        <w:textAlignment w:val="auto"/>
        <w:outlineLvl w:val="9"/>
        <w:rPr>
          <w:rFonts w:ascii="仿宋" w:hAnsi="仿宋" w:eastAsia="仿宋"/>
          <w:sz w:val="32"/>
          <w:szCs w:val="32"/>
        </w:rPr>
      </w:pPr>
    </w:p>
    <w:p>
      <w:pPr>
        <w:keepNext w:val="0"/>
        <w:keepLines w:val="0"/>
        <w:pageBreakBefore w:val="0"/>
        <w:widowControl w:val="0"/>
        <w:kinsoku/>
        <w:wordWrap/>
        <w:overflowPunct/>
        <w:topLinePunct w:val="0"/>
        <w:bidi w:val="0"/>
        <w:snapToGrid/>
        <w:spacing w:line="576" w:lineRule="exact"/>
        <w:ind w:left="0" w:leftChars="0" w:right="0" w:rightChars="0"/>
        <w:jc w:val="center"/>
        <w:textAlignment w:val="auto"/>
        <w:outlineLvl w:val="9"/>
        <w:rPr>
          <w:rFonts w:ascii="仿宋" w:hAnsi="仿宋" w:eastAsia="仿宋"/>
          <w:sz w:val="32"/>
          <w:szCs w:val="32"/>
        </w:rPr>
      </w:pPr>
      <w:r>
        <w:rPr>
          <w:rFonts w:hint="eastAsia" w:ascii="仿宋" w:hAnsi="仿宋" w:eastAsia="仿宋"/>
          <w:sz w:val="32"/>
          <w:szCs w:val="32"/>
          <w:lang w:val="en-US" w:eastAsia="zh-CN"/>
        </w:rPr>
        <w:t>2026</w:t>
      </w:r>
      <w:r>
        <w:rPr>
          <w:rFonts w:hint="eastAsia" w:ascii="仿宋" w:hAnsi="仿宋" w:eastAsia="仿宋"/>
          <w:sz w:val="32"/>
          <w:szCs w:val="32"/>
        </w:rPr>
        <w:t>年</w:t>
      </w:r>
      <w:r>
        <w:rPr>
          <w:rFonts w:hint="eastAsia" w:ascii="仿宋" w:hAnsi="仿宋" w:eastAsia="仿宋"/>
          <w:sz w:val="32"/>
          <w:szCs w:val="32"/>
          <w:lang w:val="en-US" w:eastAsia="zh-CN"/>
        </w:rPr>
        <w:t>2</w:t>
      </w:r>
      <w:r>
        <w:rPr>
          <w:rFonts w:hint="eastAsia" w:ascii="仿宋" w:hAnsi="仿宋" w:eastAsia="仿宋"/>
          <w:sz w:val="32"/>
          <w:szCs w:val="32"/>
        </w:rPr>
        <w:t>月</w:t>
      </w:r>
      <w:r>
        <w:rPr>
          <w:rFonts w:hint="eastAsia" w:ascii="仿宋" w:hAnsi="仿宋" w:eastAsia="仿宋"/>
          <w:sz w:val="32"/>
          <w:szCs w:val="32"/>
          <w:lang w:val="en-US" w:eastAsia="zh-CN"/>
        </w:rPr>
        <w:t>10</w:t>
      </w:r>
      <w:r>
        <w:rPr>
          <w:rFonts w:hint="eastAsia" w:ascii="仿宋" w:hAnsi="仿宋" w:eastAsia="仿宋"/>
          <w:sz w:val="32"/>
          <w:szCs w:val="32"/>
        </w:rPr>
        <w:t>日</w:t>
      </w:r>
    </w:p>
    <w:p>
      <w:pPr>
        <w:keepNext w:val="0"/>
        <w:keepLines w:val="0"/>
        <w:pageBreakBefore w:val="0"/>
        <w:widowControl w:val="0"/>
        <w:kinsoku/>
        <w:wordWrap/>
        <w:overflowPunct/>
        <w:topLinePunct w:val="0"/>
        <w:bidi w:val="0"/>
        <w:snapToGrid/>
        <w:spacing w:line="576" w:lineRule="exact"/>
        <w:ind w:left="0" w:leftChars="0" w:right="0" w:rightChars="0"/>
        <w:jc w:val="center"/>
        <w:textAlignment w:val="auto"/>
        <w:outlineLvl w:val="9"/>
        <w:rPr>
          <w:rFonts w:hint="eastAsia" w:ascii="方正小标宋简体" w:hAnsi="仿宋" w:eastAsia="方正小标宋简体"/>
          <w:sz w:val="44"/>
          <w:szCs w:val="44"/>
        </w:rPr>
      </w:pPr>
    </w:p>
    <w:p>
      <w:pPr>
        <w:keepNext w:val="0"/>
        <w:keepLines w:val="0"/>
        <w:pageBreakBefore w:val="0"/>
        <w:widowControl w:val="0"/>
        <w:kinsoku/>
        <w:wordWrap/>
        <w:overflowPunct/>
        <w:topLinePunct w:val="0"/>
        <w:bidi w:val="0"/>
        <w:snapToGrid/>
        <w:spacing w:line="576" w:lineRule="exact"/>
        <w:ind w:left="0" w:leftChars="0" w:right="0" w:rightChars="0"/>
        <w:jc w:val="center"/>
        <w:textAlignment w:val="auto"/>
        <w:outlineLvl w:val="9"/>
        <w:rPr>
          <w:rFonts w:hint="eastAsia" w:ascii="方正小标宋简体" w:hAnsi="仿宋" w:eastAsia="方正小标宋简体"/>
          <w:sz w:val="44"/>
          <w:szCs w:val="44"/>
        </w:rPr>
      </w:pPr>
    </w:p>
    <w:p>
      <w:pPr>
        <w:keepNext w:val="0"/>
        <w:keepLines w:val="0"/>
        <w:pageBreakBefore w:val="0"/>
        <w:widowControl w:val="0"/>
        <w:kinsoku/>
        <w:wordWrap/>
        <w:overflowPunct/>
        <w:topLinePunct w:val="0"/>
        <w:bidi w:val="0"/>
        <w:snapToGrid/>
        <w:spacing w:line="576" w:lineRule="exact"/>
        <w:ind w:left="0" w:leftChars="0" w:right="0" w:rightChars="0"/>
        <w:jc w:val="center"/>
        <w:textAlignment w:val="auto"/>
        <w:outlineLvl w:val="9"/>
        <w:rPr>
          <w:rFonts w:hint="eastAsia" w:ascii="方正小标宋简体" w:hAnsi="仿宋" w:eastAsia="方正小标宋简体"/>
          <w:sz w:val="44"/>
          <w:szCs w:val="44"/>
        </w:rPr>
      </w:pPr>
    </w:p>
    <w:p>
      <w:pPr>
        <w:keepNext w:val="0"/>
        <w:keepLines w:val="0"/>
        <w:pageBreakBefore w:val="0"/>
        <w:widowControl w:val="0"/>
        <w:kinsoku/>
        <w:wordWrap/>
        <w:overflowPunct/>
        <w:topLinePunct w:val="0"/>
        <w:bidi w:val="0"/>
        <w:snapToGrid/>
        <w:spacing w:line="576" w:lineRule="exact"/>
        <w:ind w:left="0" w:leftChars="0" w:right="0" w:rightChars="0"/>
        <w:jc w:val="center"/>
        <w:textAlignment w:val="auto"/>
        <w:outlineLvl w:val="9"/>
        <w:rPr>
          <w:rFonts w:hint="eastAsia" w:ascii="方正小标宋简体" w:hAnsi="仿宋" w:eastAsia="方正小标宋简体"/>
          <w:sz w:val="44"/>
          <w:szCs w:val="44"/>
        </w:rPr>
      </w:pPr>
    </w:p>
    <w:p>
      <w:pPr>
        <w:keepNext w:val="0"/>
        <w:keepLines w:val="0"/>
        <w:pageBreakBefore w:val="0"/>
        <w:widowControl w:val="0"/>
        <w:kinsoku/>
        <w:wordWrap/>
        <w:overflowPunct/>
        <w:topLinePunct w:val="0"/>
        <w:bidi w:val="0"/>
        <w:snapToGrid/>
        <w:spacing w:line="576" w:lineRule="exact"/>
        <w:ind w:left="0" w:leftChars="0" w:right="0" w:rightChars="0"/>
        <w:jc w:val="center"/>
        <w:textAlignment w:val="auto"/>
        <w:outlineLvl w:val="9"/>
        <w:rPr>
          <w:rFonts w:hint="eastAsia" w:ascii="方正小标宋简体" w:hAnsi="仿宋" w:eastAsia="方正小标宋简体"/>
          <w:sz w:val="44"/>
          <w:szCs w:val="44"/>
        </w:rPr>
      </w:pPr>
    </w:p>
    <w:p>
      <w:pPr>
        <w:keepNext w:val="0"/>
        <w:keepLines w:val="0"/>
        <w:pageBreakBefore w:val="0"/>
        <w:widowControl w:val="0"/>
        <w:kinsoku/>
        <w:wordWrap/>
        <w:overflowPunct/>
        <w:topLinePunct w:val="0"/>
        <w:bidi w:val="0"/>
        <w:snapToGrid/>
        <w:spacing w:line="576" w:lineRule="exact"/>
        <w:ind w:left="0" w:leftChars="0" w:right="0" w:rightChars="0"/>
        <w:jc w:val="center"/>
        <w:textAlignment w:val="auto"/>
        <w:outlineLvl w:val="9"/>
        <w:rPr>
          <w:rFonts w:hint="eastAsia" w:ascii="方正小标宋简体" w:hAnsi="仿宋" w:eastAsia="方正小标宋简体"/>
          <w:sz w:val="44"/>
          <w:szCs w:val="44"/>
        </w:rPr>
      </w:pPr>
    </w:p>
    <w:p>
      <w:pPr>
        <w:keepNext w:val="0"/>
        <w:keepLines w:val="0"/>
        <w:pageBreakBefore w:val="0"/>
        <w:widowControl w:val="0"/>
        <w:kinsoku/>
        <w:wordWrap/>
        <w:overflowPunct/>
        <w:topLinePunct w:val="0"/>
        <w:bidi w:val="0"/>
        <w:snapToGrid/>
        <w:spacing w:line="576" w:lineRule="exact"/>
        <w:ind w:left="0" w:leftChars="0" w:right="0" w:rightChars="0"/>
        <w:jc w:val="center"/>
        <w:textAlignment w:val="auto"/>
        <w:outlineLvl w:val="9"/>
        <w:rPr>
          <w:rFonts w:hint="eastAsia" w:ascii="方正小标宋简体" w:hAnsi="仿宋" w:eastAsia="方正小标宋简体"/>
          <w:sz w:val="44"/>
          <w:szCs w:val="44"/>
        </w:rPr>
      </w:pPr>
    </w:p>
    <w:p>
      <w:pPr>
        <w:keepNext w:val="0"/>
        <w:keepLines w:val="0"/>
        <w:pageBreakBefore w:val="0"/>
        <w:widowControl w:val="0"/>
        <w:kinsoku/>
        <w:wordWrap/>
        <w:overflowPunct/>
        <w:topLinePunct w:val="0"/>
        <w:bidi w:val="0"/>
        <w:snapToGrid/>
        <w:spacing w:line="576" w:lineRule="exact"/>
        <w:ind w:left="0" w:leftChars="0" w:right="0" w:rightChars="0"/>
        <w:jc w:val="center"/>
        <w:textAlignment w:val="auto"/>
        <w:outlineLvl w:val="9"/>
        <w:rPr>
          <w:rFonts w:hint="eastAsia" w:ascii="方正小标宋简体" w:hAnsi="仿宋" w:eastAsia="方正小标宋简体"/>
          <w:sz w:val="44"/>
          <w:szCs w:val="44"/>
        </w:rPr>
      </w:pPr>
    </w:p>
    <w:p>
      <w:pPr>
        <w:keepNext w:val="0"/>
        <w:keepLines w:val="0"/>
        <w:pageBreakBefore w:val="0"/>
        <w:widowControl w:val="0"/>
        <w:kinsoku/>
        <w:wordWrap/>
        <w:overflowPunct/>
        <w:topLinePunct w:val="0"/>
        <w:bidi w:val="0"/>
        <w:snapToGrid/>
        <w:spacing w:line="576" w:lineRule="exact"/>
        <w:ind w:left="0" w:leftChars="0" w:right="0" w:rightChars="0"/>
        <w:jc w:val="center"/>
        <w:textAlignment w:val="auto"/>
        <w:outlineLvl w:val="9"/>
        <w:rPr>
          <w:rFonts w:hint="eastAsia" w:ascii="方正小标宋简体" w:hAnsi="仿宋" w:eastAsia="方正小标宋简体"/>
          <w:sz w:val="44"/>
          <w:szCs w:val="44"/>
        </w:rPr>
      </w:pPr>
    </w:p>
    <w:p>
      <w:pPr>
        <w:keepNext w:val="0"/>
        <w:keepLines w:val="0"/>
        <w:pageBreakBefore w:val="0"/>
        <w:widowControl w:val="0"/>
        <w:kinsoku/>
        <w:wordWrap/>
        <w:overflowPunct/>
        <w:topLinePunct w:val="0"/>
        <w:bidi w:val="0"/>
        <w:snapToGrid/>
        <w:spacing w:line="576" w:lineRule="exact"/>
        <w:ind w:left="0" w:leftChars="0" w:right="0" w:rightChars="0"/>
        <w:jc w:val="center"/>
        <w:textAlignment w:val="auto"/>
        <w:outlineLvl w:val="9"/>
        <w:rPr>
          <w:rFonts w:hint="eastAsia" w:ascii="方正小标宋简体" w:hAnsi="仿宋" w:eastAsia="方正小标宋简体"/>
          <w:sz w:val="44"/>
          <w:szCs w:val="44"/>
        </w:rPr>
      </w:pPr>
    </w:p>
    <w:p>
      <w:pPr>
        <w:keepNext w:val="0"/>
        <w:keepLines w:val="0"/>
        <w:pageBreakBefore w:val="0"/>
        <w:widowControl w:val="0"/>
        <w:kinsoku/>
        <w:wordWrap/>
        <w:overflowPunct/>
        <w:topLinePunct w:val="0"/>
        <w:bidi w:val="0"/>
        <w:snapToGrid/>
        <w:spacing w:line="576" w:lineRule="exact"/>
        <w:ind w:left="0" w:leftChars="0" w:right="0" w:rightChars="0"/>
        <w:jc w:val="center"/>
        <w:textAlignment w:val="auto"/>
        <w:outlineLvl w:val="9"/>
        <w:rPr>
          <w:rFonts w:hint="eastAsia" w:ascii="方正小标宋简体" w:hAnsi="仿宋" w:eastAsia="方正小标宋简体"/>
          <w:sz w:val="44"/>
          <w:szCs w:val="44"/>
        </w:rPr>
      </w:pPr>
    </w:p>
    <w:p>
      <w:pPr>
        <w:keepNext w:val="0"/>
        <w:keepLines w:val="0"/>
        <w:pageBreakBefore w:val="0"/>
        <w:widowControl w:val="0"/>
        <w:kinsoku/>
        <w:wordWrap/>
        <w:overflowPunct/>
        <w:topLinePunct w:val="0"/>
        <w:bidi w:val="0"/>
        <w:snapToGrid/>
        <w:spacing w:line="576" w:lineRule="exact"/>
        <w:ind w:left="0" w:leftChars="0" w:right="0" w:rightChars="0"/>
        <w:jc w:val="both"/>
        <w:textAlignment w:val="auto"/>
        <w:outlineLvl w:val="9"/>
        <w:rPr>
          <w:rFonts w:hint="eastAsia" w:ascii="方正小标宋简体" w:hAnsi="仿宋" w:eastAsia="方正小标宋简体"/>
          <w:sz w:val="44"/>
          <w:szCs w:val="44"/>
        </w:rPr>
      </w:pPr>
    </w:p>
    <w:p>
      <w:pPr>
        <w:keepNext w:val="0"/>
        <w:keepLines w:val="0"/>
        <w:pageBreakBefore w:val="0"/>
        <w:widowControl w:val="0"/>
        <w:kinsoku/>
        <w:wordWrap/>
        <w:overflowPunct/>
        <w:topLinePunct w:val="0"/>
        <w:bidi w:val="0"/>
        <w:snapToGrid/>
        <w:spacing w:line="576" w:lineRule="exact"/>
        <w:ind w:left="0" w:leftChars="0" w:right="0" w:rightChars="0"/>
        <w:jc w:val="center"/>
        <w:textAlignment w:val="auto"/>
        <w:outlineLvl w:val="9"/>
        <w:rPr>
          <w:rFonts w:ascii="方正小标宋简体" w:hAnsi="仿宋" w:eastAsia="方正小标宋简体"/>
          <w:sz w:val="44"/>
          <w:szCs w:val="44"/>
        </w:rPr>
      </w:pPr>
      <w:r>
        <w:rPr>
          <w:rFonts w:hint="eastAsia" w:ascii="方正小标宋简体" w:hAnsi="仿宋" w:eastAsia="方正小标宋简体"/>
          <w:sz w:val="44"/>
          <w:szCs w:val="44"/>
        </w:rPr>
        <w:t>目  录</w:t>
      </w:r>
    </w:p>
    <w:p>
      <w:pPr>
        <w:keepNext w:val="0"/>
        <w:keepLines w:val="0"/>
        <w:pageBreakBefore w:val="0"/>
        <w:widowControl w:val="0"/>
        <w:kinsoku/>
        <w:wordWrap/>
        <w:overflowPunct/>
        <w:topLinePunct w:val="0"/>
        <w:bidi w:val="0"/>
        <w:snapToGrid/>
        <w:spacing w:line="576" w:lineRule="exact"/>
        <w:ind w:left="0" w:leftChars="0" w:right="0" w:rightChars="0"/>
        <w:textAlignment w:val="auto"/>
        <w:outlineLvl w:val="9"/>
        <w:rPr>
          <w:rFonts w:ascii="仿宋" w:hAnsi="仿宋" w:eastAsia="仿宋"/>
          <w:sz w:val="32"/>
          <w:szCs w:val="32"/>
        </w:rPr>
      </w:pPr>
    </w:p>
    <w:p>
      <w:pPr>
        <w:keepNext w:val="0"/>
        <w:keepLines w:val="0"/>
        <w:pageBreakBefore w:val="0"/>
        <w:widowControl w:val="0"/>
        <w:kinsoku/>
        <w:wordWrap/>
        <w:overflowPunct/>
        <w:topLinePunct w:val="0"/>
        <w:bidi w:val="0"/>
        <w:snapToGrid/>
        <w:spacing w:line="576" w:lineRule="exact"/>
        <w:ind w:left="0" w:leftChars="0" w:right="0" w:rightChars="0"/>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第一部分  </w:t>
      </w:r>
      <w:r>
        <w:rPr>
          <w:rFonts w:hint="eastAsia" w:ascii="黑体" w:hAnsi="黑体" w:eastAsia="黑体" w:cs="黑体"/>
          <w:sz w:val="32"/>
          <w:szCs w:val="32"/>
          <w:lang w:eastAsia="zh-CN"/>
        </w:rPr>
        <w:t>那曲市公安局</w:t>
      </w:r>
      <w:r>
        <w:rPr>
          <w:rFonts w:hint="eastAsia" w:ascii="黑体" w:hAnsi="黑体" w:eastAsia="黑体" w:cs="黑体"/>
          <w:sz w:val="32"/>
          <w:szCs w:val="32"/>
          <w:lang w:val="en-US" w:eastAsia="zh-CN"/>
        </w:rPr>
        <w:t>交警支队</w:t>
      </w:r>
      <w:r>
        <w:rPr>
          <w:rFonts w:hint="eastAsia" w:ascii="黑体" w:hAnsi="黑体" w:eastAsia="黑体" w:cs="黑体"/>
          <w:sz w:val="32"/>
          <w:szCs w:val="32"/>
          <w:lang w:eastAsia="zh-CN"/>
        </w:rPr>
        <w:t>预算</w:t>
      </w:r>
      <w:r>
        <w:rPr>
          <w:rFonts w:hint="eastAsia" w:ascii="黑体" w:hAnsi="黑体" w:eastAsia="黑体" w:cs="黑体"/>
          <w:sz w:val="32"/>
          <w:szCs w:val="32"/>
        </w:rPr>
        <w:t>概况</w:t>
      </w:r>
    </w:p>
    <w:p>
      <w:pPr>
        <w:keepNext w:val="0"/>
        <w:keepLines w:val="0"/>
        <w:pageBreakBefore w:val="0"/>
        <w:widowControl w:val="0"/>
        <w:kinsoku/>
        <w:wordWrap/>
        <w:overflowPunct/>
        <w:topLinePunct w:val="0"/>
        <w:bidi w:val="0"/>
        <w:snapToGrid/>
        <w:spacing w:line="576" w:lineRule="exact"/>
        <w:ind w:left="0" w:leftChars="0" w:right="0" w:rightChars="0"/>
        <w:textAlignment w:val="auto"/>
        <w:outlineLvl w:val="9"/>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lang w:eastAsia="zh-CN"/>
        </w:rPr>
        <w:t>（一）</w:t>
      </w:r>
      <w:r>
        <w:rPr>
          <w:rFonts w:hint="eastAsia" w:ascii="方正楷体简体" w:hAnsi="方正楷体简体" w:eastAsia="方正楷体简体" w:cs="方正楷体简体"/>
          <w:sz w:val="32"/>
          <w:szCs w:val="32"/>
        </w:rPr>
        <w:t>主要职能</w:t>
      </w:r>
    </w:p>
    <w:p>
      <w:pPr>
        <w:keepNext w:val="0"/>
        <w:keepLines w:val="0"/>
        <w:pageBreakBefore w:val="0"/>
        <w:widowControl w:val="0"/>
        <w:kinsoku/>
        <w:wordWrap/>
        <w:overflowPunct/>
        <w:topLinePunct w:val="0"/>
        <w:bidi w:val="0"/>
        <w:snapToGrid/>
        <w:spacing w:line="576" w:lineRule="exact"/>
        <w:ind w:left="0" w:leftChars="0" w:right="0" w:rightChars="0"/>
        <w:textAlignment w:val="auto"/>
        <w:outlineLvl w:val="9"/>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lang w:eastAsia="zh-CN"/>
        </w:rPr>
        <w:t>（二）</w:t>
      </w:r>
      <w:r>
        <w:rPr>
          <w:rFonts w:hint="eastAsia" w:ascii="方正楷体简体" w:hAnsi="方正楷体简体" w:eastAsia="方正楷体简体" w:cs="方正楷体简体"/>
          <w:sz w:val="32"/>
          <w:szCs w:val="32"/>
        </w:rPr>
        <w:t>部门机构设置情况</w:t>
      </w:r>
    </w:p>
    <w:p>
      <w:pPr>
        <w:keepNext w:val="0"/>
        <w:keepLines w:val="0"/>
        <w:pageBreakBefore w:val="0"/>
        <w:widowControl w:val="0"/>
        <w:kinsoku/>
        <w:wordWrap/>
        <w:overflowPunct/>
        <w:topLinePunct w:val="0"/>
        <w:bidi w:val="0"/>
        <w:snapToGrid/>
        <w:spacing w:line="576" w:lineRule="exact"/>
        <w:ind w:left="0" w:leftChars="0" w:right="0" w:rightChars="0"/>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第二部分 </w:t>
      </w:r>
      <w:r>
        <w:rPr>
          <w:rFonts w:hint="eastAsia" w:ascii="黑体" w:hAnsi="黑体" w:eastAsia="黑体" w:cs="黑体"/>
          <w:sz w:val="32"/>
          <w:szCs w:val="32"/>
          <w:lang w:eastAsia="zh-CN"/>
        </w:rPr>
        <w:t>那曲市公安局</w:t>
      </w:r>
      <w:r>
        <w:rPr>
          <w:rFonts w:hint="eastAsia" w:ascii="黑体" w:hAnsi="黑体" w:eastAsia="黑体" w:cs="黑体"/>
          <w:sz w:val="32"/>
          <w:szCs w:val="32"/>
          <w:lang w:val="en-US" w:eastAsia="zh-CN"/>
        </w:rPr>
        <w:t>交警支队</w:t>
      </w:r>
      <w:r>
        <w:rPr>
          <w:rFonts w:hint="eastAsia" w:ascii="黑体" w:hAnsi="黑体" w:eastAsia="黑体" w:cs="黑体"/>
          <w:sz w:val="32"/>
          <w:szCs w:val="32"/>
        </w:rPr>
        <w:t>预算明细表</w:t>
      </w:r>
    </w:p>
    <w:p>
      <w:pPr>
        <w:keepNext w:val="0"/>
        <w:keepLines w:val="0"/>
        <w:pageBreakBefore w:val="0"/>
        <w:widowControl w:val="0"/>
        <w:kinsoku/>
        <w:wordWrap/>
        <w:overflowPunct/>
        <w:topLinePunct w:val="0"/>
        <w:bidi w:val="0"/>
        <w:snapToGrid/>
        <w:spacing w:line="576" w:lineRule="exact"/>
        <w:ind w:left="0" w:leftChars="0" w:right="0" w:rightChars="0"/>
        <w:jc w:val="left"/>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第三部分 </w:t>
      </w:r>
      <w:r>
        <w:rPr>
          <w:rFonts w:hint="eastAsia" w:ascii="黑体" w:hAnsi="黑体" w:eastAsia="黑体" w:cs="黑体"/>
          <w:sz w:val="32"/>
          <w:szCs w:val="32"/>
          <w:lang w:eastAsia="zh-CN"/>
        </w:rPr>
        <w:t>那曲市公安局</w:t>
      </w:r>
      <w:r>
        <w:rPr>
          <w:rFonts w:hint="eastAsia" w:ascii="黑体" w:hAnsi="黑体" w:eastAsia="黑体" w:cs="黑体"/>
          <w:sz w:val="32"/>
          <w:szCs w:val="32"/>
          <w:lang w:val="en-US" w:eastAsia="zh-CN"/>
        </w:rPr>
        <w:t>交警支队</w:t>
      </w:r>
      <w:r>
        <w:rPr>
          <w:rFonts w:hint="eastAsia" w:ascii="黑体" w:hAnsi="黑体" w:eastAsia="黑体" w:cs="黑体"/>
          <w:sz w:val="32"/>
          <w:szCs w:val="32"/>
        </w:rPr>
        <w:t>预算数据分析</w:t>
      </w:r>
    </w:p>
    <w:p>
      <w:pPr>
        <w:keepNext w:val="0"/>
        <w:keepLines w:val="0"/>
        <w:pageBreakBefore w:val="0"/>
        <w:widowControl w:val="0"/>
        <w:kinsoku/>
        <w:wordWrap/>
        <w:overflowPunct/>
        <w:topLinePunct w:val="0"/>
        <w:bidi w:val="0"/>
        <w:snapToGrid/>
        <w:spacing w:line="576" w:lineRule="exact"/>
        <w:ind w:left="0" w:leftChars="0" w:right="0" w:rightChars="0"/>
        <w:textAlignment w:val="auto"/>
        <w:outlineLvl w:val="9"/>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lang w:eastAsia="zh-CN"/>
        </w:rPr>
        <w:t>（</w:t>
      </w:r>
      <w:r>
        <w:rPr>
          <w:rFonts w:hint="eastAsia" w:ascii="方正楷体简体" w:hAnsi="方正楷体简体" w:eastAsia="方正楷体简体" w:cs="方正楷体简体"/>
          <w:sz w:val="32"/>
          <w:szCs w:val="32"/>
        </w:rPr>
        <w:t>一</w:t>
      </w:r>
      <w:r>
        <w:rPr>
          <w:rFonts w:hint="eastAsia" w:ascii="方正楷体简体" w:hAnsi="方正楷体简体" w:eastAsia="方正楷体简体" w:cs="方正楷体简体"/>
          <w:sz w:val="32"/>
          <w:szCs w:val="32"/>
          <w:lang w:eastAsia="zh-CN"/>
        </w:rPr>
        <w:t>）</w:t>
      </w:r>
      <w:r>
        <w:rPr>
          <w:rFonts w:hint="eastAsia" w:ascii="方正楷体简体" w:hAnsi="方正楷体简体" w:eastAsia="方正楷体简体" w:cs="方正楷体简体"/>
          <w:sz w:val="32"/>
          <w:szCs w:val="32"/>
        </w:rPr>
        <w:t>部门/单位收支总体情况</w:t>
      </w:r>
    </w:p>
    <w:p>
      <w:pPr>
        <w:keepNext w:val="0"/>
        <w:keepLines w:val="0"/>
        <w:pageBreakBefore w:val="0"/>
        <w:widowControl w:val="0"/>
        <w:kinsoku/>
        <w:wordWrap/>
        <w:overflowPunct/>
        <w:topLinePunct w:val="0"/>
        <w:bidi w:val="0"/>
        <w:snapToGrid/>
        <w:spacing w:line="576" w:lineRule="exact"/>
        <w:ind w:left="0" w:leftChars="0" w:right="0" w:rightChars="0"/>
        <w:textAlignment w:val="auto"/>
        <w:outlineLvl w:val="9"/>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lang w:eastAsia="zh-CN"/>
        </w:rPr>
        <w:t>（</w:t>
      </w:r>
      <w:r>
        <w:rPr>
          <w:rFonts w:hint="eastAsia" w:ascii="方正楷体简体" w:hAnsi="方正楷体简体" w:eastAsia="方正楷体简体" w:cs="方正楷体简体"/>
          <w:sz w:val="32"/>
          <w:szCs w:val="32"/>
        </w:rPr>
        <w:t>二</w:t>
      </w:r>
      <w:r>
        <w:rPr>
          <w:rFonts w:hint="eastAsia" w:ascii="方正楷体简体" w:hAnsi="方正楷体简体" w:eastAsia="方正楷体简体" w:cs="方正楷体简体"/>
          <w:sz w:val="32"/>
          <w:szCs w:val="32"/>
          <w:lang w:eastAsia="zh-CN"/>
        </w:rPr>
        <w:t>）</w:t>
      </w:r>
      <w:r>
        <w:rPr>
          <w:rFonts w:hint="eastAsia" w:ascii="方正楷体简体" w:hAnsi="方正楷体简体" w:eastAsia="方正楷体简体" w:cs="方正楷体简体"/>
          <w:sz w:val="32"/>
          <w:szCs w:val="32"/>
        </w:rPr>
        <w:t>部门/单位收入总体情况</w:t>
      </w:r>
    </w:p>
    <w:p>
      <w:pPr>
        <w:keepNext w:val="0"/>
        <w:keepLines w:val="0"/>
        <w:pageBreakBefore w:val="0"/>
        <w:widowControl w:val="0"/>
        <w:kinsoku/>
        <w:wordWrap/>
        <w:overflowPunct/>
        <w:topLinePunct w:val="0"/>
        <w:bidi w:val="0"/>
        <w:snapToGrid/>
        <w:spacing w:line="576" w:lineRule="exact"/>
        <w:ind w:left="0" w:leftChars="0" w:right="0" w:rightChars="0"/>
        <w:textAlignment w:val="auto"/>
        <w:outlineLvl w:val="9"/>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lang w:eastAsia="zh-CN"/>
        </w:rPr>
        <w:t>（</w:t>
      </w:r>
      <w:r>
        <w:rPr>
          <w:rFonts w:hint="eastAsia" w:ascii="方正楷体简体" w:hAnsi="方正楷体简体" w:eastAsia="方正楷体简体" w:cs="方正楷体简体"/>
          <w:sz w:val="32"/>
          <w:szCs w:val="32"/>
        </w:rPr>
        <w:t>三</w:t>
      </w:r>
      <w:r>
        <w:rPr>
          <w:rFonts w:hint="eastAsia" w:ascii="方正楷体简体" w:hAnsi="方正楷体简体" w:eastAsia="方正楷体简体" w:cs="方正楷体简体"/>
          <w:sz w:val="32"/>
          <w:szCs w:val="32"/>
          <w:lang w:eastAsia="zh-CN"/>
        </w:rPr>
        <w:t>）</w:t>
      </w:r>
      <w:r>
        <w:rPr>
          <w:rFonts w:hint="eastAsia" w:ascii="方正楷体简体" w:hAnsi="方正楷体简体" w:eastAsia="方正楷体简体" w:cs="方正楷体简体"/>
          <w:sz w:val="32"/>
          <w:szCs w:val="32"/>
        </w:rPr>
        <w:t>部门/单位支出总体情况</w:t>
      </w:r>
    </w:p>
    <w:p>
      <w:pPr>
        <w:keepNext w:val="0"/>
        <w:keepLines w:val="0"/>
        <w:pageBreakBefore w:val="0"/>
        <w:widowControl w:val="0"/>
        <w:kinsoku/>
        <w:wordWrap/>
        <w:overflowPunct/>
        <w:topLinePunct w:val="0"/>
        <w:bidi w:val="0"/>
        <w:snapToGrid/>
        <w:spacing w:line="576" w:lineRule="exact"/>
        <w:ind w:left="0" w:leftChars="0" w:right="0" w:rightChars="0"/>
        <w:textAlignment w:val="auto"/>
        <w:outlineLvl w:val="9"/>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lang w:eastAsia="zh-CN"/>
        </w:rPr>
        <w:t>（</w:t>
      </w:r>
      <w:r>
        <w:rPr>
          <w:rFonts w:hint="eastAsia" w:ascii="方正楷体简体" w:hAnsi="方正楷体简体" w:eastAsia="方正楷体简体" w:cs="方正楷体简体"/>
          <w:sz w:val="32"/>
          <w:szCs w:val="32"/>
        </w:rPr>
        <w:t>四</w:t>
      </w:r>
      <w:r>
        <w:rPr>
          <w:rFonts w:hint="eastAsia" w:ascii="方正楷体简体" w:hAnsi="方正楷体简体" w:eastAsia="方正楷体简体" w:cs="方正楷体简体"/>
          <w:sz w:val="32"/>
          <w:szCs w:val="32"/>
          <w:lang w:eastAsia="zh-CN"/>
        </w:rPr>
        <w:t>）</w:t>
      </w:r>
      <w:r>
        <w:rPr>
          <w:rFonts w:hint="eastAsia" w:ascii="方正楷体简体" w:hAnsi="方正楷体简体" w:eastAsia="方正楷体简体" w:cs="方正楷体简体"/>
          <w:sz w:val="32"/>
          <w:szCs w:val="32"/>
        </w:rPr>
        <w:t>财政拨款收支总体情况</w:t>
      </w:r>
    </w:p>
    <w:p>
      <w:pPr>
        <w:keepNext w:val="0"/>
        <w:keepLines w:val="0"/>
        <w:pageBreakBefore w:val="0"/>
        <w:widowControl w:val="0"/>
        <w:kinsoku/>
        <w:wordWrap/>
        <w:overflowPunct/>
        <w:topLinePunct w:val="0"/>
        <w:bidi w:val="0"/>
        <w:snapToGrid/>
        <w:spacing w:line="576" w:lineRule="exact"/>
        <w:ind w:left="0" w:leftChars="0" w:right="0" w:rightChars="0"/>
        <w:textAlignment w:val="auto"/>
        <w:outlineLvl w:val="9"/>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lang w:eastAsia="zh-CN"/>
        </w:rPr>
        <w:t>（</w:t>
      </w:r>
      <w:r>
        <w:rPr>
          <w:rFonts w:hint="eastAsia" w:ascii="方正楷体简体" w:hAnsi="方正楷体简体" w:eastAsia="方正楷体简体" w:cs="方正楷体简体"/>
          <w:sz w:val="32"/>
          <w:szCs w:val="32"/>
        </w:rPr>
        <w:t>五</w:t>
      </w:r>
      <w:r>
        <w:rPr>
          <w:rFonts w:hint="eastAsia" w:ascii="方正楷体简体" w:hAnsi="方正楷体简体" w:eastAsia="方正楷体简体" w:cs="方正楷体简体"/>
          <w:sz w:val="32"/>
          <w:szCs w:val="32"/>
          <w:lang w:eastAsia="zh-CN"/>
        </w:rPr>
        <w:t>）</w:t>
      </w:r>
      <w:r>
        <w:rPr>
          <w:rFonts w:hint="eastAsia" w:ascii="方正楷体简体" w:hAnsi="方正楷体简体" w:eastAsia="方正楷体简体" w:cs="方正楷体简体"/>
          <w:sz w:val="32"/>
          <w:szCs w:val="32"/>
        </w:rPr>
        <w:t>一般公共预算支出总体情况（按功能分类科目）</w:t>
      </w:r>
    </w:p>
    <w:p>
      <w:pPr>
        <w:keepNext w:val="0"/>
        <w:keepLines w:val="0"/>
        <w:pageBreakBefore w:val="0"/>
        <w:widowControl w:val="0"/>
        <w:kinsoku/>
        <w:wordWrap/>
        <w:overflowPunct/>
        <w:topLinePunct w:val="0"/>
        <w:bidi w:val="0"/>
        <w:snapToGrid/>
        <w:spacing w:line="576" w:lineRule="exact"/>
        <w:ind w:left="0" w:leftChars="0" w:right="0" w:rightChars="0"/>
        <w:textAlignment w:val="auto"/>
        <w:outlineLvl w:val="9"/>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lang w:eastAsia="zh-CN"/>
        </w:rPr>
        <w:t>（</w:t>
      </w:r>
      <w:r>
        <w:rPr>
          <w:rFonts w:hint="eastAsia" w:ascii="方正楷体简体" w:hAnsi="方正楷体简体" w:eastAsia="方正楷体简体" w:cs="方正楷体简体"/>
          <w:sz w:val="32"/>
          <w:szCs w:val="32"/>
        </w:rPr>
        <w:t>六</w:t>
      </w:r>
      <w:r>
        <w:rPr>
          <w:rFonts w:hint="eastAsia" w:ascii="方正楷体简体" w:hAnsi="方正楷体简体" w:eastAsia="方正楷体简体" w:cs="方正楷体简体"/>
          <w:sz w:val="32"/>
          <w:szCs w:val="32"/>
          <w:lang w:eastAsia="zh-CN"/>
        </w:rPr>
        <w:t>）</w:t>
      </w:r>
      <w:r>
        <w:rPr>
          <w:rFonts w:hint="eastAsia" w:ascii="方正楷体简体" w:hAnsi="方正楷体简体" w:eastAsia="方正楷体简体" w:cs="方正楷体简体"/>
          <w:sz w:val="32"/>
          <w:szCs w:val="32"/>
        </w:rPr>
        <w:t>一般公共预算基本支出总体情况（按经济分类款级科目）</w:t>
      </w:r>
    </w:p>
    <w:p>
      <w:pPr>
        <w:keepNext w:val="0"/>
        <w:keepLines w:val="0"/>
        <w:pageBreakBefore w:val="0"/>
        <w:widowControl w:val="0"/>
        <w:kinsoku/>
        <w:wordWrap/>
        <w:overflowPunct/>
        <w:topLinePunct w:val="0"/>
        <w:bidi w:val="0"/>
        <w:snapToGrid/>
        <w:spacing w:line="576" w:lineRule="exact"/>
        <w:ind w:left="0" w:leftChars="0" w:right="0" w:rightChars="0"/>
        <w:textAlignment w:val="auto"/>
        <w:outlineLvl w:val="9"/>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lang w:eastAsia="zh-CN"/>
        </w:rPr>
        <w:t>（</w:t>
      </w:r>
      <w:r>
        <w:rPr>
          <w:rFonts w:hint="eastAsia" w:ascii="方正楷体简体" w:hAnsi="方正楷体简体" w:eastAsia="方正楷体简体" w:cs="方正楷体简体"/>
          <w:sz w:val="32"/>
          <w:szCs w:val="32"/>
        </w:rPr>
        <w:t>七</w:t>
      </w:r>
      <w:r>
        <w:rPr>
          <w:rFonts w:hint="eastAsia" w:ascii="方正楷体简体" w:hAnsi="方正楷体简体" w:eastAsia="方正楷体简体" w:cs="方正楷体简体"/>
          <w:sz w:val="32"/>
          <w:szCs w:val="32"/>
          <w:lang w:eastAsia="zh-CN"/>
        </w:rPr>
        <w:t>）</w:t>
      </w:r>
      <w:r>
        <w:rPr>
          <w:rFonts w:hint="eastAsia" w:ascii="方正楷体简体" w:hAnsi="方正楷体简体" w:eastAsia="方正楷体简体" w:cs="方正楷体简体"/>
          <w:sz w:val="32"/>
          <w:szCs w:val="32"/>
        </w:rPr>
        <w:t>一般公共预算“三公”经费支出总体情况</w:t>
      </w:r>
    </w:p>
    <w:p>
      <w:pPr>
        <w:keepNext w:val="0"/>
        <w:keepLines w:val="0"/>
        <w:pageBreakBefore w:val="0"/>
        <w:widowControl w:val="0"/>
        <w:kinsoku/>
        <w:wordWrap/>
        <w:overflowPunct/>
        <w:topLinePunct w:val="0"/>
        <w:bidi w:val="0"/>
        <w:snapToGrid/>
        <w:spacing w:line="576" w:lineRule="exact"/>
        <w:ind w:left="0" w:leftChars="0" w:right="0" w:rightChars="0"/>
        <w:textAlignment w:val="auto"/>
        <w:outlineLvl w:val="9"/>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lang w:eastAsia="zh-CN"/>
        </w:rPr>
        <w:t>（</w:t>
      </w:r>
      <w:r>
        <w:rPr>
          <w:rFonts w:hint="eastAsia" w:ascii="方正楷体简体" w:hAnsi="方正楷体简体" w:eastAsia="方正楷体简体" w:cs="方正楷体简体"/>
          <w:sz w:val="32"/>
          <w:szCs w:val="32"/>
        </w:rPr>
        <w:t>八</w:t>
      </w:r>
      <w:r>
        <w:rPr>
          <w:rFonts w:hint="eastAsia" w:ascii="方正楷体简体" w:hAnsi="方正楷体简体" w:eastAsia="方正楷体简体" w:cs="方正楷体简体"/>
          <w:sz w:val="32"/>
          <w:szCs w:val="32"/>
          <w:lang w:eastAsia="zh-CN"/>
        </w:rPr>
        <w:t>）</w:t>
      </w:r>
      <w:r>
        <w:rPr>
          <w:rFonts w:hint="eastAsia" w:ascii="方正楷体简体" w:hAnsi="方正楷体简体" w:eastAsia="方正楷体简体" w:cs="方正楷体简体"/>
          <w:sz w:val="32"/>
          <w:szCs w:val="32"/>
        </w:rPr>
        <w:t>政府性基金预算支出总体情况</w:t>
      </w:r>
    </w:p>
    <w:p>
      <w:pPr>
        <w:keepNext w:val="0"/>
        <w:keepLines w:val="0"/>
        <w:pageBreakBefore w:val="0"/>
        <w:widowControl w:val="0"/>
        <w:kinsoku/>
        <w:wordWrap/>
        <w:overflowPunct/>
        <w:topLinePunct w:val="0"/>
        <w:bidi w:val="0"/>
        <w:snapToGrid/>
        <w:spacing w:line="576" w:lineRule="exact"/>
        <w:ind w:left="0" w:leftChars="0" w:right="0" w:rightChars="0"/>
        <w:textAlignment w:val="auto"/>
        <w:outlineLvl w:val="9"/>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lang w:eastAsia="zh-CN"/>
        </w:rPr>
        <w:t>（</w:t>
      </w:r>
      <w:r>
        <w:rPr>
          <w:rFonts w:hint="eastAsia" w:ascii="方正楷体简体" w:hAnsi="方正楷体简体" w:eastAsia="方正楷体简体" w:cs="方正楷体简体"/>
          <w:sz w:val="32"/>
          <w:szCs w:val="32"/>
        </w:rPr>
        <w:t>九</w:t>
      </w:r>
      <w:r>
        <w:rPr>
          <w:rFonts w:hint="eastAsia" w:ascii="方正楷体简体" w:hAnsi="方正楷体简体" w:eastAsia="方正楷体简体" w:cs="方正楷体简体"/>
          <w:sz w:val="32"/>
          <w:szCs w:val="32"/>
          <w:lang w:eastAsia="zh-CN"/>
        </w:rPr>
        <w:t>）</w:t>
      </w:r>
      <w:r>
        <w:rPr>
          <w:rFonts w:hint="eastAsia" w:ascii="方正楷体简体" w:hAnsi="方正楷体简体" w:eastAsia="方正楷体简体" w:cs="方正楷体简体"/>
          <w:sz w:val="32"/>
          <w:szCs w:val="32"/>
        </w:rPr>
        <w:t>政府性基金“三公”经费支出总体情况</w:t>
      </w:r>
    </w:p>
    <w:p>
      <w:pPr>
        <w:keepNext w:val="0"/>
        <w:keepLines w:val="0"/>
        <w:pageBreakBefore w:val="0"/>
        <w:widowControl w:val="0"/>
        <w:kinsoku/>
        <w:wordWrap/>
        <w:overflowPunct/>
        <w:topLinePunct w:val="0"/>
        <w:bidi w:val="0"/>
        <w:snapToGrid/>
        <w:spacing w:line="576" w:lineRule="exact"/>
        <w:ind w:left="0" w:leftChars="0" w:right="0" w:rightChars="0"/>
        <w:textAlignment w:val="auto"/>
        <w:outlineLvl w:val="9"/>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lang w:eastAsia="zh-CN"/>
        </w:rPr>
        <w:t>（</w:t>
      </w:r>
      <w:r>
        <w:rPr>
          <w:rFonts w:hint="eastAsia" w:ascii="方正楷体简体" w:hAnsi="方正楷体简体" w:eastAsia="方正楷体简体" w:cs="方正楷体简体"/>
          <w:sz w:val="32"/>
          <w:szCs w:val="32"/>
        </w:rPr>
        <w:t>十</w:t>
      </w:r>
      <w:r>
        <w:rPr>
          <w:rFonts w:hint="eastAsia" w:ascii="方正楷体简体" w:hAnsi="方正楷体简体" w:eastAsia="方正楷体简体" w:cs="方正楷体简体"/>
          <w:sz w:val="32"/>
          <w:szCs w:val="32"/>
          <w:lang w:eastAsia="zh-CN"/>
        </w:rPr>
        <w:t>）</w:t>
      </w:r>
      <w:r>
        <w:rPr>
          <w:rFonts w:hint="eastAsia" w:ascii="方正楷体简体" w:hAnsi="方正楷体简体" w:eastAsia="方正楷体简体" w:cs="方正楷体简体"/>
          <w:sz w:val="32"/>
          <w:szCs w:val="32"/>
        </w:rPr>
        <w:t>其他重要事项情况说明</w:t>
      </w:r>
    </w:p>
    <w:p>
      <w:pPr>
        <w:keepNext w:val="0"/>
        <w:keepLines w:val="0"/>
        <w:pageBreakBefore w:val="0"/>
        <w:widowControl w:val="0"/>
        <w:kinsoku/>
        <w:wordWrap/>
        <w:overflowPunct/>
        <w:topLinePunct w:val="0"/>
        <w:bidi w:val="0"/>
        <w:snapToGrid/>
        <w:spacing w:line="576" w:lineRule="exact"/>
        <w:ind w:left="0" w:leftChars="0" w:right="0" w:rightChars="0"/>
        <w:textAlignment w:val="auto"/>
        <w:outlineLvl w:val="9"/>
        <w:rPr>
          <w:rFonts w:ascii="仿宋" w:hAnsi="仿宋" w:eastAsia="仿宋"/>
          <w:sz w:val="32"/>
          <w:szCs w:val="32"/>
        </w:rPr>
      </w:pPr>
      <w:r>
        <w:rPr>
          <w:rFonts w:hint="eastAsia" w:ascii="黑体" w:hAnsi="黑体" w:eastAsia="黑体" w:cs="黑体"/>
          <w:sz w:val="32"/>
          <w:szCs w:val="32"/>
        </w:rPr>
        <w:t>第四部分  名词解释</w:t>
      </w:r>
    </w:p>
    <w:p>
      <w:pPr>
        <w:keepNext w:val="0"/>
        <w:keepLines w:val="0"/>
        <w:pageBreakBefore w:val="0"/>
        <w:widowControl w:val="0"/>
        <w:kinsoku/>
        <w:wordWrap/>
        <w:overflowPunct/>
        <w:topLinePunct w:val="0"/>
        <w:bidi w:val="0"/>
        <w:snapToGrid/>
        <w:spacing w:line="576" w:lineRule="exact"/>
        <w:ind w:left="0" w:leftChars="0" w:right="0" w:rightChars="0"/>
        <w:jc w:val="both"/>
        <w:textAlignment w:val="auto"/>
        <w:outlineLvl w:val="9"/>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    </w:t>
      </w:r>
    </w:p>
    <w:p>
      <w:pPr>
        <w:keepNext w:val="0"/>
        <w:keepLines w:val="0"/>
        <w:pageBreakBefore w:val="0"/>
        <w:widowControl w:val="0"/>
        <w:kinsoku/>
        <w:wordWrap/>
        <w:overflowPunct/>
        <w:topLinePunct w:val="0"/>
        <w:bidi w:val="0"/>
        <w:snapToGrid/>
        <w:spacing w:line="576" w:lineRule="exact"/>
        <w:ind w:left="0" w:leftChars="0" w:right="0" w:rightChars="0"/>
        <w:jc w:val="both"/>
        <w:textAlignment w:val="auto"/>
        <w:outlineLvl w:val="9"/>
        <w:rPr>
          <w:rFonts w:hint="eastAsia" w:ascii="方正仿宋简体" w:hAnsi="方正仿宋简体" w:eastAsia="方正仿宋简体" w:cs="方正仿宋简体"/>
          <w:sz w:val="32"/>
          <w:szCs w:val="32"/>
          <w:lang w:val="en-US" w:eastAsia="zh-CN"/>
        </w:rPr>
      </w:pPr>
    </w:p>
    <w:p>
      <w:pPr>
        <w:keepNext w:val="0"/>
        <w:keepLines w:val="0"/>
        <w:pageBreakBefore w:val="0"/>
        <w:widowControl w:val="0"/>
        <w:kinsoku/>
        <w:wordWrap/>
        <w:overflowPunct/>
        <w:topLinePunct w:val="0"/>
        <w:bidi w:val="0"/>
        <w:snapToGrid/>
        <w:spacing w:line="576" w:lineRule="exact"/>
        <w:ind w:left="0" w:leftChars="0" w:right="0" w:rightChars="0"/>
        <w:jc w:val="both"/>
        <w:textAlignment w:val="auto"/>
        <w:outlineLvl w:val="9"/>
        <w:rPr>
          <w:rFonts w:hint="eastAsia" w:ascii="方正仿宋简体" w:hAnsi="方正仿宋简体" w:eastAsia="方正仿宋简体" w:cs="方正仿宋简体"/>
          <w:sz w:val="32"/>
          <w:szCs w:val="32"/>
          <w:lang w:val="en-US" w:eastAsia="zh-CN"/>
        </w:rPr>
      </w:pPr>
    </w:p>
    <w:p>
      <w:pPr>
        <w:keepNext w:val="0"/>
        <w:keepLines w:val="0"/>
        <w:pageBreakBefore w:val="0"/>
        <w:widowControl w:val="0"/>
        <w:kinsoku/>
        <w:wordWrap/>
        <w:overflowPunct/>
        <w:topLinePunct w:val="0"/>
        <w:bidi w:val="0"/>
        <w:snapToGrid/>
        <w:spacing w:line="576" w:lineRule="exact"/>
        <w:ind w:left="0" w:leftChars="0" w:right="0" w:rightChars="0"/>
        <w:jc w:val="both"/>
        <w:textAlignment w:val="auto"/>
        <w:outlineLvl w:val="9"/>
        <w:rPr>
          <w:rFonts w:hint="eastAsia" w:ascii="方正仿宋简体" w:hAnsi="方正仿宋简体" w:eastAsia="方正仿宋简体" w:cs="方正仿宋简体"/>
          <w:sz w:val="32"/>
          <w:szCs w:val="32"/>
          <w:lang w:val="en-US" w:eastAsia="zh-CN"/>
        </w:rPr>
      </w:pPr>
    </w:p>
    <w:p>
      <w:pPr>
        <w:keepNext w:val="0"/>
        <w:keepLines w:val="0"/>
        <w:pageBreakBefore w:val="0"/>
        <w:widowControl w:val="0"/>
        <w:kinsoku/>
        <w:wordWrap/>
        <w:overflowPunct/>
        <w:topLinePunct w:val="0"/>
        <w:bidi w:val="0"/>
        <w:snapToGrid/>
        <w:spacing w:line="576" w:lineRule="exact"/>
        <w:ind w:left="0" w:leftChars="0" w:right="0" w:rightChars="0"/>
        <w:jc w:val="both"/>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b w:val="0"/>
          <w:bCs w:val="0"/>
          <w:sz w:val="32"/>
          <w:szCs w:val="32"/>
          <w:lang w:val="en-US" w:eastAsia="zh-CN"/>
        </w:rPr>
        <w:t>为</w:t>
      </w:r>
      <w:r>
        <w:rPr>
          <w:rFonts w:hint="eastAsia" w:ascii="方正仿宋简体" w:hAnsi="方正仿宋简体" w:eastAsia="方正仿宋简体" w:cs="方正仿宋简体"/>
          <w:b w:val="0"/>
          <w:bCs w:val="0"/>
          <w:sz w:val="32"/>
          <w:szCs w:val="32"/>
          <w:lang w:eastAsia="zh-CN"/>
        </w:rPr>
        <w:t>进</w:t>
      </w:r>
      <w:r>
        <w:rPr>
          <w:rFonts w:hint="eastAsia" w:ascii="方正仿宋简体" w:hAnsi="方正仿宋简体" w:eastAsia="方正仿宋简体" w:cs="方正仿宋简体"/>
          <w:sz w:val="32"/>
          <w:szCs w:val="32"/>
          <w:lang w:eastAsia="zh-CN"/>
        </w:rPr>
        <w:t>一步加强预算管理，树立依法理财的观念，规范预算执行，</w:t>
      </w:r>
      <w:r>
        <w:rPr>
          <w:rFonts w:hint="eastAsia" w:ascii="方正仿宋简体" w:hAnsi="方正仿宋简体" w:eastAsia="方正仿宋简体" w:cs="方正仿宋简体"/>
          <w:sz w:val="32"/>
          <w:szCs w:val="32"/>
          <w:lang w:val="en-US" w:eastAsia="zh-CN"/>
        </w:rPr>
        <w:t>按照《</w:t>
      </w:r>
      <w:r>
        <w:rPr>
          <w:rFonts w:hint="eastAsia" w:ascii="方正仿宋简体" w:hAnsi="方正仿宋简体" w:eastAsia="方正仿宋简体" w:cs="方正仿宋简体"/>
          <w:sz w:val="32"/>
          <w:szCs w:val="32"/>
          <w:lang w:eastAsia="zh-CN"/>
        </w:rPr>
        <w:t>中华人民共和国预算法</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eastAsia="zh-CN"/>
        </w:rPr>
        <w:t>《中华人民共和国预算法实施条例》和《国务院关于进一步深化预算管理制度改革的意见》《</w:t>
      </w:r>
      <w:r>
        <w:rPr>
          <w:rFonts w:hint="eastAsia" w:ascii="方正仿宋简体" w:hAnsi="方正仿宋简体" w:eastAsia="方正仿宋简体" w:cs="方正仿宋简体"/>
          <w:sz w:val="32"/>
          <w:szCs w:val="32"/>
          <w:lang w:val="en-US" w:eastAsia="zh-CN"/>
        </w:rPr>
        <w:t>地方预决算公开操作规程</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财政部关于推进部门所属单位预算公开的指导意见</w:t>
      </w:r>
      <w:r>
        <w:rPr>
          <w:rFonts w:hint="eastAsia" w:ascii="方正仿宋简体" w:hAnsi="方正仿宋简体" w:eastAsia="方正仿宋简体" w:cs="方正仿宋简体"/>
          <w:sz w:val="32"/>
          <w:szCs w:val="32"/>
          <w:lang w:eastAsia="zh-CN"/>
        </w:rPr>
        <w:t>》等有关文件要求，现将</w:t>
      </w:r>
      <w:r>
        <w:rPr>
          <w:rFonts w:hint="eastAsia" w:ascii="方正仿宋简体" w:hAnsi="方正仿宋简体" w:eastAsia="方正仿宋简体" w:cs="方正仿宋简体"/>
          <w:sz w:val="32"/>
          <w:szCs w:val="32"/>
          <w:lang w:val="en-US" w:eastAsia="zh-CN"/>
        </w:rPr>
        <w:t>2026年度预算公开如下：</w:t>
      </w:r>
    </w:p>
    <w:p>
      <w:pPr>
        <w:keepNext w:val="0"/>
        <w:keepLines w:val="0"/>
        <w:pageBreakBefore w:val="0"/>
        <w:widowControl w:val="0"/>
        <w:kinsoku/>
        <w:wordWrap/>
        <w:overflowPunct/>
        <w:topLinePunct w:val="0"/>
        <w:bidi w:val="0"/>
        <w:snapToGrid/>
        <w:spacing w:line="576" w:lineRule="exact"/>
        <w:ind w:left="0" w:leftChars="0" w:right="0" w:rightChars="0"/>
        <w:jc w:val="center"/>
        <w:textAlignment w:val="auto"/>
        <w:outlineLvl w:val="9"/>
        <w:rPr>
          <w:rFonts w:ascii="方正小标宋简体" w:hAnsi="仿宋" w:eastAsia="方正小标宋简体"/>
          <w:sz w:val="32"/>
          <w:szCs w:val="32"/>
        </w:rPr>
      </w:pPr>
      <w:r>
        <w:rPr>
          <w:rFonts w:hint="eastAsia" w:ascii="方正小标宋简体" w:hAnsi="仿宋" w:eastAsia="方正小标宋简体"/>
          <w:sz w:val="32"/>
          <w:szCs w:val="32"/>
        </w:rPr>
        <w:t>第一部分</w:t>
      </w:r>
    </w:p>
    <w:p>
      <w:pPr>
        <w:keepNext w:val="0"/>
        <w:keepLines w:val="0"/>
        <w:pageBreakBefore w:val="0"/>
        <w:widowControl w:val="0"/>
        <w:kinsoku/>
        <w:wordWrap/>
        <w:overflowPunct/>
        <w:topLinePunct w:val="0"/>
        <w:bidi w:val="0"/>
        <w:snapToGrid/>
        <w:spacing w:line="576" w:lineRule="exact"/>
        <w:ind w:left="0" w:leftChars="0" w:right="0" w:rightChars="0"/>
        <w:jc w:val="center"/>
        <w:textAlignment w:val="auto"/>
        <w:outlineLvl w:val="9"/>
        <w:rPr>
          <w:rFonts w:ascii="仿宋" w:hAnsi="仿宋" w:eastAsia="仿宋"/>
          <w:sz w:val="32"/>
          <w:szCs w:val="32"/>
        </w:rPr>
      </w:pPr>
      <w:r>
        <w:rPr>
          <w:rFonts w:hint="eastAsia" w:ascii="方正小标宋简体" w:hAnsi="仿宋" w:eastAsia="方正小标宋简体"/>
          <w:sz w:val="32"/>
          <w:szCs w:val="32"/>
          <w:lang w:eastAsia="zh-CN"/>
        </w:rPr>
        <w:t>那曲市公安局</w:t>
      </w:r>
      <w:r>
        <w:rPr>
          <w:rFonts w:hint="eastAsia" w:ascii="方正小标宋简体" w:hAnsi="仿宋" w:eastAsia="方正小标宋简体"/>
          <w:sz w:val="32"/>
          <w:szCs w:val="32"/>
          <w:lang w:val="en-US" w:eastAsia="zh-CN"/>
        </w:rPr>
        <w:t>交警支队</w:t>
      </w:r>
      <w:r>
        <w:rPr>
          <w:rFonts w:hint="eastAsia" w:ascii="方正小标宋简体" w:hAnsi="仿宋" w:eastAsia="方正小标宋简体"/>
          <w:sz w:val="32"/>
          <w:szCs w:val="32"/>
          <w:lang w:eastAsia="zh-CN"/>
        </w:rPr>
        <w:t>预算</w:t>
      </w:r>
      <w:r>
        <w:rPr>
          <w:rFonts w:hint="eastAsia" w:ascii="方正小标宋简体" w:hAnsi="仿宋" w:eastAsia="方正小标宋简体"/>
          <w:sz w:val="32"/>
          <w:szCs w:val="32"/>
        </w:rPr>
        <w:t>概况</w:t>
      </w:r>
    </w:p>
    <w:p>
      <w:pPr>
        <w:keepNext w:val="0"/>
        <w:keepLines w:val="0"/>
        <w:pageBreakBefore w:val="0"/>
        <w:widowControl w:val="0"/>
        <w:kinsoku/>
        <w:wordWrap/>
        <w:overflowPunct/>
        <w:topLinePunct w:val="0"/>
        <w:bidi w:val="0"/>
        <w:snapToGrid/>
        <w:spacing w:line="576" w:lineRule="exact"/>
        <w:ind w:left="0" w:leftChars="0" w:right="0" w:rightChars="0"/>
        <w:textAlignment w:val="auto"/>
        <w:outlineLvl w:val="9"/>
        <w:rPr>
          <w:rFonts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一、主要职能</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outlineLvl w:val="9"/>
        <w:rPr>
          <w:rFonts w:hint="eastAsia" w:ascii="仿宋" w:hAnsi="仿宋" w:eastAsia="仿宋"/>
          <w:sz w:val="32"/>
          <w:szCs w:val="32"/>
          <w:lang w:eastAsia="zh-CN"/>
        </w:rPr>
      </w:pPr>
      <w:r>
        <w:rPr>
          <w:rFonts w:hint="eastAsia" w:ascii="仿宋" w:hAnsi="仿宋" w:eastAsia="仿宋"/>
          <w:sz w:val="32"/>
          <w:szCs w:val="32"/>
          <w:lang w:eastAsia="zh-CN"/>
        </w:rPr>
        <w:t>主要职责：</w:t>
      </w:r>
      <w:r>
        <w:rPr>
          <w:rFonts w:hint="default" w:ascii="仿宋" w:hAnsi="仿宋" w:eastAsia="仿宋"/>
          <w:sz w:val="32"/>
          <w:szCs w:val="32"/>
          <w:lang w:eastAsia="zh-CN"/>
        </w:rPr>
        <w:t>负责制定全市道路交通管理工作，负责公路道路、高等级公路道路交通管理；负责交通特勤、秩序整治、交通科研、事故预防、交通违法处理、车辆及驾驶人管理、宣传教育等工作；完成上级交办的其他任务。</w:t>
      </w:r>
    </w:p>
    <w:p>
      <w:pPr>
        <w:keepNext w:val="0"/>
        <w:keepLines w:val="0"/>
        <w:pageBreakBefore w:val="0"/>
        <w:widowControl w:val="0"/>
        <w:kinsoku/>
        <w:wordWrap/>
        <w:overflowPunct/>
        <w:topLinePunct w:val="0"/>
        <w:bidi w:val="0"/>
        <w:snapToGrid/>
        <w:spacing w:line="576" w:lineRule="exact"/>
        <w:ind w:left="0" w:leftChars="0" w:right="0" w:rightChars="0"/>
        <w:textAlignment w:val="auto"/>
        <w:outlineLvl w:val="9"/>
        <w:rPr>
          <w:rFonts w:ascii="黑体" w:hAnsi="黑体" w:eastAsia="黑体"/>
          <w:b w:val="0"/>
          <w:bCs w:val="0"/>
          <w:sz w:val="32"/>
          <w:szCs w:val="32"/>
        </w:rPr>
      </w:pPr>
      <w:r>
        <w:rPr>
          <w:rFonts w:hint="eastAsia" w:ascii="黑体" w:hAnsi="黑体" w:eastAsia="黑体"/>
          <w:sz w:val="32"/>
          <w:szCs w:val="32"/>
          <w:lang w:val="en-US" w:eastAsia="zh-CN"/>
        </w:rPr>
        <w:t xml:space="preserve">  </w:t>
      </w:r>
      <w:r>
        <w:rPr>
          <w:rFonts w:hint="eastAsia" w:ascii="黑体" w:hAnsi="黑体" w:eastAsia="黑体"/>
          <w:b w:val="0"/>
          <w:bCs w:val="0"/>
          <w:sz w:val="32"/>
          <w:szCs w:val="32"/>
          <w:lang w:val="en-US" w:eastAsia="zh-CN"/>
        </w:rPr>
        <w:t xml:space="preserve">  </w:t>
      </w:r>
      <w:r>
        <w:rPr>
          <w:rFonts w:hint="eastAsia" w:ascii="黑体" w:hAnsi="黑体" w:eastAsia="黑体"/>
          <w:b w:val="0"/>
          <w:bCs w:val="0"/>
          <w:sz w:val="32"/>
          <w:szCs w:val="32"/>
        </w:rPr>
        <w:t>二、部门（单位）机构设置</w:t>
      </w:r>
      <w:r>
        <w:rPr>
          <w:rFonts w:ascii="黑体" w:hAnsi="黑体" w:eastAsia="黑体"/>
          <w:b w:val="0"/>
          <w:bCs w:val="0"/>
          <w:sz w:val="32"/>
          <w:szCs w:val="32"/>
        </w:rPr>
        <w:t>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textAlignment w:val="auto"/>
        <w:outlineLvl w:val="9"/>
        <w:rPr>
          <w:rFonts w:hint="default" w:ascii="仿宋" w:hAnsi="仿宋" w:eastAsia="仿宋"/>
          <w:sz w:val="32"/>
          <w:szCs w:val="32"/>
          <w:lang w:eastAsia="zh-CN"/>
        </w:rPr>
      </w:pPr>
      <w:r>
        <w:rPr>
          <w:rFonts w:hint="eastAsia" w:eastAsia="方正仿宋简体" w:cs="Times New Roman"/>
          <w:sz w:val="32"/>
          <w:szCs w:val="32"/>
          <w:lang w:val="en-US" w:eastAsia="zh-CN"/>
        </w:rPr>
        <w:t xml:space="preserve">    </w:t>
      </w:r>
      <w:r>
        <w:rPr>
          <w:rFonts w:hint="default" w:ascii="仿宋" w:hAnsi="仿宋" w:eastAsia="仿宋"/>
          <w:sz w:val="32"/>
          <w:szCs w:val="32"/>
          <w:lang w:eastAsia="zh-CN"/>
        </w:rPr>
        <w:t>那曲</w:t>
      </w:r>
      <w:r>
        <w:rPr>
          <w:rFonts w:hint="eastAsia" w:ascii="仿宋" w:hAnsi="仿宋" w:eastAsia="仿宋"/>
          <w:sz w:val="32"/>
          <w:szCs w:val="32"/>
          <w:lang w:val="en-US" w:eastAsia="zh-CN"/>
        </w:rPr>
        <w:t>市</w:t>
      </w:r>
      <w:r>
        <w:rPr>
          <w:rFonts w:hint="default" w:ascii="仿宋" w:hAnsi="仿宋" w:eastAsia="仿宋"/>
          <w:sz w:val="32"/>
          <w:szCs w:val="32"/>
          <w:lang w:eastAsia="zh-CN"/>
        </w:rPr>
        <w:t>公安</w:t>
      </w:r>
      <w:r>
        <w:rPr>
          <w:rFonts w:hint="eastAsia" w:ascii="仿宋" w:hAnsi="仿宋" w:eastAsia="仿宋"/>
          <w:sz w:val="32"/>
          <w:szCs w:val="32"/>
          <w:lang w:val="en-US" w:eastAsia="zh-CN"/>
        </w:rPr>
        <w:t>局</w:t>
      </w:r>
      <w:r>
        <w:rPr>
          <w:rFonts w:hint="default" w:ascii="仿宋" w:hAnsi="仿宋" w:eastAsia="仿宋"/>
          <w:sz w:val="32"/>
          <w:szCs w:val="32"/>
          <w:lang w:eastAsia="zh-CN"/>
        </w:rPr>
        <w:t>交警支队</w:t>
      </w:r>
      <w:r>
        <w:rPr>
          <w:rFonts w:hint="eastAsia" w:ascii="仿宋" w:hAnsi="仿宋" w:eastAsia="仿宋"/>
          <w:sz w:val="32"/>
          <w:szCs w:val="32"/>
          <w:lang w:val="en-US" w:eastAsia="zh-CN"/>
        </w:rPr>
        <w:t>是市公安局的内设机构</w:t>
      </w:r>
      <w:r>
        <w:rPr>
          <w:rFonts w:hint="default" w:ascii="仿宋" w:hAnsi="仿宋" w:eastAsia="仿宋"/>
          <w:sz w:val="32"/>
          <w:szCs w:val="32"/>
          <w:lang w:eastAsia="zh-CN"/>
        </w:rPr>
        <w:t>，</w:t>
      </w:r>
      <w:r>
        <w:rPr>
          <w:rFonts w:hint="eastAsia" w:ascii="仿宋" w:hAnsi="仿宋" w:eastAsia="仿宋"/>
          <w:sz w:val="32"/>
          <w:szCs w:val="32"/>
          <w:lang w:val="en-US" w:eastAsia="zh-CN"/>
        </w:rPr>
        <w:t>为一</w:t>
      </w:r>
      <w:r>
        <w:rPr>
          <w:rFonts w:hint="eastAsia" w:ascii="仿宋" w:hAnsi="仿宋" w:eastAsia="仿宋"/>
          <w:sz w:val="32"/>
          <w:szCs w:val="32"/>
          <w:lang w:eastAsia="zh-CN"/>
        </w:rPr>
        <w:t>级预算单位。</w:t>
      </w:r>
      <w:r>
        <w:rPr>
          <w:rFonts w:hint="default" w:ascii="仿宋" w:hAnsi="仿宋" w:eastAsia="仿宋"/>
          <w:sz w:val="32"/>
          <w:szCs w:val="32"/>
          <w:lang w:eastAsia="zh-CN"/>
        </w:rPr>
        <w:t>单位全称</w:t>
      </w:r>
      <w:r>
        <w:rPr>
          <w:rFonts w:hint="eastAsia" w:ascii="仿宋" w:hAnsi="仿宋" w:eastAsia="仿宋"/>
          <w:sz w:val="32"/>
          <w:szCs w:val="32"/>
          <w:lang w:eastAsia="zh-CN"/>
        </w:rPr>
        <w:t>：</w:t>
      </w:r>
      <w:r>
        <w:rPr>
          <w:rFonts w:hint="default" w:ascii="仿宋" w:hAnsi="仿宋" w:eastAsia="仿宋"/>
          <w:sz w:val="32"/>
          <w:szCs w:val="32"/>
          <w:lang w:eastAsia="zh-CN"/>
        </w:rPr>
        <w:t>那曲市公安局</w:t>
      </w:r>
      <w:r>
        <w:rPr>
          <w:rFonts w:hint="eastAsia" w:ascii="仿宋" w:hAnsi="仿宋" w:eastAsia="仿宋"/>
          <w:sz w:val="32"/>
          <w:szCs w:val="32"/>
          <w:lang w:val="en-US" w:eastAsia="zh-CN"/>
        </w:rPr>
        <w:t>交通警察</w:t>
      </w:r>
      <w:r>
        <w:rPr>
          <w:rFonts w:hint="default" w:ascii="仿宋" w:hAnsi="仿宋" w:eastAsia="仿宋"/>
          <w:sz w:val="32"/>
          <w:szCs w:val="32"/>
          <w:lang w:eastAsia="zh-CN"/>
        </w:rPr>
        <w:t>支队</w:t>
      </w:r>
      <w:r>
        <w:rPr>
          <w:rFonts w:hint="eastAsia" w:ascii="仿宋" w:hAnsi="仿宋" w:eastAsia="仿宋"/>
          <w:sz w:val="32"/>
          <w:szCs w:val="32"/>
          <w:lang w:eastAsia="zh-CN"/>
        </w:rPr>
        <w:t>。</w:t>
      </w:r>
      <w:r>
        <w:rPr>
          <w:rFonts w:hint="default" w:ascii="仿宋" w:hAnsi="仿宋" w:eastAsia="仿宋"/>
          <w:sz w:val="32"/>
          <w:szCs w:val="32"/>
          <w:lang w:eastAsia="zh-CN"/>
        </w:rPr>
        <w:t>人员编制为37人，部门内设机构</w:t>
      </w:r>
      <w:r>
        <w:rPr>
          <w:rFonts w:hint="eastAsia" w:ascii="仿宋" w:hAnsi="仿宋" w:eastAsia="仿宋"/>
          <w:sz w:val="32"/>
          <w:szCs w:val="32"/>
          <w:lang w:eastAsia="zh-CN"/>
        </w:rPr>
        <w:t>：</w:t>
      </w:r>
      <w:r>
        <w:rPr>
          <w:rFonts w:hint="default" w:ascii="仿宋" w:hAnsi="仿宋" w:eastAsia="仿宋"/>
          <w:sz w:val="32"/>
          <w:szCs w:val="32"/>
          <w:lang w:val="zh-CN" w:eastAsia="zh-CN"/>
        </w:rPr>
        <w:t>办公室、</w:t>
      </w:r>
      <w:r>
        <w:rPr>
          <w:rFonts w:hint="eastAsia" w:ascii="仿宋" w:hAnsi="仿宋" w:eastAsia="仿宋"/>
          <w:sz w:val="32"/>
          <w:szCs w:val="32"/>
          <w:lang w:val="en-US" w:eastAsia="zh-CN"/>
        </w:rPr>
        <w:t>车辆管理所</w:t>
      </w:r>
      <w:r>
        <w:rPr>
          <w:rFonts w:hint="default" w:ascii="仿宋" w:hAnsi="仿宋" w:eastAsia="仿宋"/>
          <w:sz w:val="32"/>
          <w:szCs w:val="32"/>
          <w:lang w:val="zh-CN" w:eastAsia="zh-CN"/>
        </w:rPr>
        <w:t>、事故处理</w:t>
      </w:r>
      <w:r>
        <w:rPr>
          <w:rFonts w:hint="eastAsia" w:ascii="仿宋" w:hAnsi="仿宋" w:eastAsia="仿宋"/>
          <w:sz w:val="32"/>
          <w:szCs w:val="32"/>
          <w:lang w:val="en-US" w:eastAsia="zh-CN"/>
        </w:rPr>
        <w:t>大队</w:t>
      </w:r>
      <w:r>
        <w:rPr>
          <w:rFonts w:hint="default" w:ascii="仿宋" w:hAnsi="仿宋" w:eastAsia="仿宋"/>
          <w:sz w:val="32"/>
          <w:szCs w:val="32"/>
          <w:lang w:val="zh-CN" w:eastAsia="zh-CN"/>
        </w:rPr>
        <w:t>、秩序</w:t>
      </w:r>
      <w:r>
        <w:rPr>
          <w:rFonts w:hint="eastAsia" w:ascii="仿宋" w:hAnsi="仿宋" w:eastAsia="仿宋"/>
          <w:sz w:val="32"/>
          <w:szCs w:val="32"/>
          <w:lang w:val="en-US" w:eastAsia="zh-CN"/>
        </w:rPr>
        <w:t>大队</w:t>
      </w:r>
      <w:r>
        <w:rPr>
          <w:rFonts w:hint="default" w:ascii="仿宋" w:hAnsi="仿宋" w:eastAsia="仿宋"/>
          <w:sz w:val="32"/>
          <w:szCs w:val="32"/>
          <w:lang w:val="zh-CN" w:eastAsia="zh-CN"/>
        </w:rPr>
        <w:t>、执法督察大队、科技</w:t>
      </w:r>
      <w:r>
        <w:rPr>
          <w:rFonts w:hint="eastAsia" w:ascii="仿宋" w:hAnsi="仿宋" w:eastAsia="仿宋"/>
          <w:sz w:val="32"/>
          <w:szCs w:val="32"/>
          <w:lang w:val="en-US" w:eastAsia="zh-CN"/>
        </w:rPr>
        <w:t>大队</w:t>
      </w:r>
      <w:r>
        <w:rPr>
          <w:rFonts w:hint="default" w:ascii="仿宋" w:hAnsi="仿宋" w:eastAsia="仿宋"/>
          <w:sz w:val="32"/>
          <w:szCs w:val="32"/>
          <w:lang w:val="zh-CN" w:eastAsia="zh-CN"/>
        </w:rPr>
        <w:t>。</w:t>
      </w:r>
    </w:p>
    <w:p>
      <w:pPr>
        <w:keepNext w:val="0"/>
        <w:keepLines w:val="0"/>
        <w:pageBreakBefore w:val="0"/>
        <w:widowControl w:val="0"/>
        <w:kinsoku/>
        <w:wordWrap/>
        <w:overflowPunct/>
        <w:topLinePunct w:val="0"/>
        <w:bidi w:val="0"/>
        <w:snapToGrid/>
        <w:spacing w:line="576" w:lineRule="exact"/>
        <w:ind w:left="0" w:leftChars="0" w:right="0" w:rightChars="0"/>
        <w:jc w:val="center"/>
        <w:textAlignment w:val="auto"/>
        <w:outlineLvl w:val="9"/>
        <w:rPr>
          <w:rFonts w:ascii="方正小标宋简体" w:hAnsi="仿宋" w:eastAsia="方正小标宋简体"/>
          <w:sz w:val="32"/>
          <w:szCs w:val="32"/>
        </w:rPr>
      </w:pPr>
      <w:r>
        <w:rPr>
          <w:rFonts w:hint="eastAsia" w:ascii="方正小标宋简体" w:hAnsi="仿宋" w:eastAsia="方正小标宋简体"/>
          <w:sz w:val="32"/>
          <w:szCs w:val="32"/>
        </w:rPr>
        <w:t>第二部分</w:t>
      </w:r>
    </w:p>
    <w:p>
      <w:pPr>
        <w:keepNext w:val="0"/>
        <w:keepLines w:val="0"/>
        <w:pageBreakBefore w:val="0"/>
        <w:widowControl w:val="0"/>
        <w:kinsoku/>
        <w:wordWrap/>
        <w:overflowPunct/>
        <w:topLinePunct w:val="0"/>
        <w:bidi w:val="0"/>
        <w:snapToGrid/>
        <w:spacing w:line="576" w:lineRule="exact"/>
        <w:ind w:left="0" w:leftChars="0" w:right="0" w:rightChars="0"/>
        <w:jc w:val="center"/>
        <w:textAlignment w:val="auto"/>
        <w:outlineLvl w:val="9"/>
        <w:rPr>
          <w:rFonts w:ascii="方正小标宋简体" w:hAnsi="仿宋" w:eastAsia="方正小标宋简体"/>
          <w:sz w:val="32"/>
          <w:szCs w:val="32"/>
        </w:rPr>
      </w:pPr>
      <w:r>
        <w:rPr>
          <w:rFonts w:hint="eastAsia" w:ascii="方正小标宋简体" w:hAnsi="仿宋" w:eastAsia="方正小标宋简体"/>
          <w:sz w:val="32"/>
          <w:szCs w:val="32"/>
          <w:lang w:eastAsia="zh-CN"/>
        </w:rPr>
        <w:t>那曲市公安局</w:t>
      </w:r>
      <w:r>
        <w:rPr>
          <w:rFonts w:hint="eastAsia" w:ascii="方正小标宋简体" w:hAnsi="仿宋" w:eastAsia="方正小标宋简体"/>
          <w:sz w:val="32"/>
          <w:szCs w:val="32"/>
          <w:lang w:val="en-US" w:eastAsia="zh-CN"/>
        </w:rPr>
        <w:t>交警支队</w:t>
      </w:r>
      <w:r>
        <w:rPr>
          <w:rFonts w:hint="eastAsia" w:ascii="方正小标宋简体" w:hAnsi="仿宋" w:eastAsia="方正小标宋简体"/>
          <w:sz w:val="32"/>
          <w:szCs w:val="32"/>
        </w:rPr>
        <w:t>202</w:t>
      </w:r>
      <w:r>
        <w:rPr>
          <w:rFonts w:hint="eastAsia" w:ascii="方正小标宋简体" w:hAnsi="仿宋" w:eastAsia="方正小标宋简体"/>
          <w:sz w:val="32"/>
          <w:szCs w:val="32"/>
          <w:lang w:val="en-US" w:eastAsia="zh-CN"/>
        </w:rPr>
        <w:t>6</w:t>
      </w:r>
      <w:r>
        <w:rPr>
          <w:rFonts w:hint="eastAsia" w:ascii="方正小标宋简体" w:hAnsi="仿宋" w:eastAsia="方正小标宋简体"/>
          <w:sz w:val="32"/>
          <w:szCs w:val="32"/>
        </w:rPr>
        <w:t>年度预算明细表</w:t>
      </w:r>
    </w:p>
    <w:p>
      <w:pPr>
        <w:keepNext w:val="0"/>
        <w:keepLines w:val="0"/>
        <w:pageBreakBefore w:val="0"/>
        <w:widowControl w:val="0"/>
        <w:kinsoku/>
        <w:wordWrap/>
        <w:overflowPunct/>
        <w:topLinePunct w:val="0"/>
        <w:bidi w:val="0"/>
        <w:snapToGrid/>
        <w:spacing w:line="576" w:lineRule="exact"/>
        <w:ind w:left="0" w:leftChars="0" w:right="0" w:rightChars="0"/>
        <w:jc w:val="center"/>
        <w:textAlignment w:val="auto"/>
        <w:outlineLvl w:val="9"/>
        <w:rPr>
          <w:rFonts w:hint="eastAsia" w:ascii="黑体" w:hAnsi="黑体" w:eastAsia="黑体"/>
          <w:sz w:val="32"/>
          <w:szCs w:val="32"/>
        </w:rPr>
      </w:pPr>
      <w:r>
        <w:rPr>
          <w:rFonts w:hint="eastAsia" w:ascii="方正小标宋简体" w:hAnsi="仿宋" w:eastAsia="方正小标宋简体"/>
          <w:sz w:val="32"/>
          <w:szCs w:val="32"/>
        </w:rPr>
        <w:t>（</w:t>
      </w:r>
      <w:r>
        <w:rPr>
          <w:rFonts w:hint="eastAsia" w:ascii="方正小标宋简体" w:hAnsi="仿宋" w:eastAsia="方正小标宋简体"/>
          <w:sz w:val="32"/>
          <w:szCs w:val="32"/>
          <w:lang w:eastAsia="zh-CN"/>
        </w:rPr>
        <w:t>预算明细表</w:t>
      </w:r>
      <w:r>
        <w:rPr>
          <w:rFonts w:hint="eastAsia" w:ascii="方正小标宋简体" w:hAnsi="仿宋" w:eastAsia="方正小标宋简体"/>
          <w:sz w:val="32"/>
          <w:szCs w:val="32"/>
        </w:rPr>
        <w:t>详见附件）</w:t>
      </w:r>
    </w:p>
    <w:p>
      <w:pPr>
        <w:keepNext w:val="0"/>
        <w:keepLines w:val="0"/>
        <w:pageBreakBefore w:val="0"/>
        <w:widowControl w:val="0"/>
        <w:kinsoku/>
        <w:wordWrap/>
        <w:overflowPunct/>
        <w:topLinePunct w:val="0"/>
        <w:bidi w:val="0"/>
        <w:snapToGrid/>
        <w:spacing w:line="576" w:lineRule="exact"/>
        <w:ind w:left="0" w:leftChars="0" w:right="0" w:rightChars="0"/>
        <w:jc w:val="center"/>
        <w:textAlignment w:val="auto"/>
        <w:outlineLvl w:val="9"/>
        <w:rPr>
          <w:rFonts w:ascii="方正小标宋简体" w:hAnsi="仿宋" w:eastAsia="方正小标宋简体"/>
          <w:sz w:val="32"/>
          <w:szCs w:val="32"/>
        </w:rPr>
      </w:pPr>
      <w:r>
        <w:rPr>
          <w:rFonts w:hint="eastAsia" w:ascii="方正小标宋简体" w:hAnsi="仿宋" w:eastAsia="方正小标宋简体"/>
          <w:sz w:val="32"/>
          <w:szCs w:val="32"/>
        </w:rPr>
        <w:t>第三部分</w:t>
      </w:r>
    </w:p>
    <w:p>
      <w:pPr>
        <w:keepNext w:val="0"/>
        <w:keepLines w:val="0"/>
        <w:pageBreakBefore w:val="0"/>
        <w:widowControl w:val="0"/>
        <w:kinsoku/>
        <w:wordWrap/>
        <w:overflowPunct/>
        <w:topLinePunct w:val="0"/>
        <w:bidi w:val="0"/>
        <w:snapToGrid/>
        <w:spacing w:line="576" w:lineRule="exact"/>
        <w:ind w:left="0" w:leftChars="0" w:right="0" w:rightChars="0"/>
        <w:jc w:val="center"/>
        <w:textAlignment w:val="auto"/>
        <w:outlineLvl w:val="9"/>
        <w:rPr>
          <w:rFonts w:ascii="黑体" w:hAnsi="黑体" w:eastAsia="黑体"/>
          <w:sz w:val="32"/>
          <w:szCs w:val="32"/>
        </w:rPr>
      </w:pPr>
      <w:r>
        <w:rPr>
          <w:rFonts w:hint="eastAsia" w:ascii="方正小标宋简体" w:hAnsi="仿宋" w:eastAsia="方正小标宋简体"/>
          <w:sz w:val="32"/>
          <w:szCs w:val="32"/>
          <w:lang w:eastAsia="zh-CN"/>
        </w:rPr>
        <w:t>那曲市公安局</w:t>
      </w:r>
      <w:r>
        <w:rPr>
          <w:rFonts w:hint="eastAsia" w:ascii="方正小标宋简体" w:hAnsi="仿宋" w:eastAsia="方正小标宋简体"/>
          <w:sz w:val="32"/>
          <w:szCs w:val="32"/>
          <w:lang w:val="en-US" w:eastAsia="zh-CN"/>
        </w:rPr>
        <w:t>交警支队</w:t>
      </w:r>
      <w:r>
        <w:rPr>
          <w:rFonts w:hint="eastAsia" w:ascii="方正小标宋简体" w:hAnsi="仿宋" w:eastAsia="方正小标宋简体"/>
          <w:sz w:val="32"/>
          <w:szCs w:val="32"/>
        </w:rPr>
        <w:t>202</w:t>
      </w:r>
      <w:r>
        <w:rPr>
          <w:rFonts w:hint="eastAsia" w:ascii="方正小标宋简体" w:hAnsi="仿宋" w:eastAsia="方正小标宋简体"/>
          <w:sz w:val="32"/>
          <w:szCs w:val="32"/>
          <w:lang w:val="en-US" w:eastAsia="zh-CN"/>
        </w:rPr>
        <w:t>6</w:t>
      </w:r>
      <w:r>
        <w:rPr>
          <w:rFonts w:hint="eastAsia" w:ascii="方正小标宋简体" w:hAnsi="仿宋" w:eastAsia="方正小标宋简体"/>
          <w:sz w:val="32"/>
          <w:szCs w:val="32"/>
        </w:rPr>
        <w:t>年度部门预算数据分析</w:t>
      </w:r>
    </w:p>
    <w:p>
      <w:pPr>
        <w:keepNext w:val="0"/>
        <w:keepLines w:val="0"/>
        <w:pageBreakBefore w:val="0"/>
        <w:widowControl w:val="0"/>
        <w:kinsoku/>
        <w:wordWrap/>
        <w:overflowPunct/>
        <w:topLinePunct w:val="0"/>
        <w:bidi w:val="0"/>
        <w:snapToGrid/>
        <w:spacing w:line="576" w:lineRule="exact"/>
        <w:ind w:left="0" w:leftChars="0" w:right="0" w:rightChars="0" w:firstLine="640" w:firstLineChars="200"/>
        <w:textAlignment w:val="auto"/>
        <w:outlineLvl w:val="9"/>
        <w:rPr>
          <w:rFonts w:ascii="黑体" w:hAnsi="黑体" w:eastAsia="黑体"/>
          <w:sz w:val="32"/>
          <w:szCs w:val="32"/>
        </w:rPr>
      </w:pPr>
      <w:r>
        <w:rPr>
          <w:rFonts w:hint="eastAsia" w:ascii="黑体" w:hAnsi="黑体" w:eastAsia="黑体"/>
          <w:sz w:val="32"/>
          <w:szCs w:val="32"/>
        </w:rPr>
        <w:t>一、部门（单位）收支总体情况</w:t>
      </w:r>
    </w:p>
    <w:p>
      <w:pPr>
        <w:keepNext w:val="0"/>
        <w:keepLines w:val="0"/>
        <w:pageBreakBefore w:val="0"/>
        <w:widowControl w:val="0"/>
        <w:kinsoku/>
        <w:wordWrap/>
        <w:overflowPunct/>
        <w:topLinePunct w:val="0"/>
        <w:bidi w:val="0"/>
        <w:snapToGrid/>
        <w:spacing w:line="576" w:lineRule="exact"/>
        <w:ind w:left="0" w:leftChars="0" w:right="0" w:rightChars="0" w:firstLine="640" w:firstLineChars="200"/>
        <w:textAlignment w:val="auto"/>
        <w:outlineLvl w:val="9"/>
        <w:rPr>
          <w:rFonts w:ascii="仿宋" w:hAnsi="仿宋" w:eastAsia="仿宋"/>
          <w:sz w:val="32"/>
          <w:szCs w:val="32"/>
        </w:rPr>
      </w:pPr>
      <w:r>
        <w:rPr>
          <w:rFonts w:hint="eastAsia" w:ascii="仿宋" w:hAnsi="仿宋" w:eastAsia="仿宋"/>
          <w:sz w:val="32"/>
          <w:szCs w:val="32"/>
          <w:lang w:val="en-US" w:eastAsia="zh-CN"/>
        </w:rPr>
        <w:t>2026年</w:t>
      </w:r>
      <w:r>
        <w:rPr>
          <w:rFonts w:hint="eastAsia" w:ascii="仿宋" w:hAnsi="仿宋" w:eastAsia="仿宋"/>
          <w:sz w:val="32"/>
          <w:szCs w:val="32"/>
        </w:rPr>
        <w:t>收支总预算</w:t>
      </w:r>
      <w:r>
        <w:rPr>
          <w:rFonts w:hint="eastAsia" w:ascii="仿宋" w:hAnsi="仿宋" w:eastAsia="仿宋"/>
          <w:sz w:val="32"/>
          <w:szCs w:val="32"/>
          <w:u w:val="none"/>
          <w:lang w:val="en-US" w:eastAsia="zh-CN"/>
        </w:rPr>
        <w:t>4298</w:t>
      </w:r>
      <w:r>
        <w:rPr>
          <w:rFonts w:hint="eastAsia" w:ascii="仿宋" w:hAnsi="仿宋" w:eastAsia="仿宋"/>
          <w:sz w:val="32"/>
          <w:szCs w:val="32"/>
        </w:rPr>
        <w:t>万元。收入包括：</w:t>
      </w:r>
      <w:r>
        <w:rPr>
          <w:rFonts w:hint="eastAsia" w:ascii="仿宋" w:hAnsi="仿宋" w:eastAsia="仿宋"/>
          <w:sz w:val="32"/>
          <w:szCs w:val="32"/>
          <w:lang w:eastAsia="zh-CN"/>
        </w:rPr>
        <w:t>基本收入：</w:t>
      </w:r>
      <w:r>
        <w:rPr>
          <w:rFonts w:hint="eastAsia" w:ascii="仿宋" w:hAnsi="仿宋" w:eastAsia="仿宋"/>
          <w:sz w:val="32"/>
          <w:szCs w:val="32"/>
          <w:lang w:val="en-US" w:eastAsia="zh-CN"/>
        </w:rPr>
        <w:t>2338.20万元、项目收入：1959.81万元</w:t>
      </w:r>
      <w:r>
        <w:rPr>
          <w:rFonts w:hint="eastAsia" w:ascii="仿宋" w:hAnsi="仿宋" w:eastAsia="仿宋"/>
          <w:color w:val="auto"/>
          <w:sz w:val="32"/>
          <w:szCs w:val="32"/>
          <w:lang w:eastAsia="zh-CN"/>
        </w:rPr>
        <w:t>。</w:t>
      </w:r>
      <w:r>
        <w:rPr>
          <w:rFonts w:hint="eastAsia" w:ascii="仿宋" w:hAnsi="仿宋" w:eastAsia="仿宋"/>
          <w:sz w:val="32"/>
          <w:szCs w:val="32"/>
        </w:rPr>
        <w:t>支出包括：</w:t>
      </w:r>
      <w:r>
        <w:rPr>
          <w:rFonts w:hint="eastAsia" w:ascii="仿宋" w:hAnsi="仿宋" w:eastAsia="仿宋"/>
          <w:sz w:val="32"/>
          <w:szCs w:val="32"/>
          <w:lang w:eastAsia="zh-CN"/>
        </w:rPr>
        <w:t>公共安全支出</w:t>
      </w:r>
      <w:r>
        <w:rPr>
          <w:rFonts w:hint="eastAsia" w:ascii="仿宋" w:hAnsi="仿宋" w:eastAsia="仿宋"/>
          <w:sz w:val="32"/>
          <w:szCs w:val="32"/>
          <w:lang w:val="en-US" w:eastAsia="zh-CN"/>
        </w:rPr>
        <w:t>3564.51万元、社会保障和就</w:t>
      </w:r>
      <w:bookmarkStart w:id="0" w:name="_GoBack"/>
      <w:bookmarkEnd w:id="0"/>
      <w:r>
        <w:rPr>
          <w:rFonts w:hint="eastAsia" w:ascii="仿宋" w:hAnsi="仿宋" w:eastAsia="仿宋"/>
          <w:sz w:val="32"/>
          <w:szCs w:val="32"/>
          <w:lang w:val="en-US" w:eastAsia="zh-CN"/>
        </w:rPr>
        <w:t>业支出479.67万元、卫生健康支出119.55万元、</w:t>
      </w:r>
      <w:r>
        <w:rPr>
          <w:rFonts w:hint="eastAsia" w:ascii="仿宋" w:hAnsi="仿宋" w:eastAsia="仿宋"/>
          <w:sz w:val="32"/>
          <w:szCs w:val="32"/>
        </w:rPr>
        <w:t>住房保障支出</w:t>
      </w:r>
      <w:r>
        <w:rPr>
          <w:rFonts w:hint="eastAsia" w:ascii="仿宋" w:hAnsi="仿宋" w:eastAsia="仿宋"/>
          <w:sz w:val="32"/>
          <w:szCs w:val="32"/>
          <w:lang w:val="en-US" w:eastAsia="zh-CN"/>
        </w:rPr>
        <w:t>134.27万元</w:t>
      </w:r>
      <w:r>
        <w:rPr>
          <w:rFonts w:hint="eastAsia" w:ascii="仿宋" w:hAnsi="仿宋" w:eastAsia="仿宋"/>
          <w:sz w:val="32"/>
          <w:szCs w:val="32"/>
        </w:rPr>
        <w:t>。</w:t>
      </w:r>
    </w:p>
    <w:p>
      <w:pPr>
        <w:keepNext w:val="0"/>
        <w:keepLines w:val="0"/>
        <w:pageBreakBefore w:val="0"/>
        <w:widowControl w:val="0"/>
        <w:kinsoku/>
        <w:wordWrap/>
        <w:overflowPunct/>
        <w:topLinePunct w:val="0"/>
        <w:bidi w:val="0"/>
        <w:snapToGrid/>
        <w:spacing w:line="576" w:lineRule="exact"/>
        <w:ind w:left="0" w:leftChars="0" w:right="0" w:rightChars="0" w:firstLine="640" w:firstLineChars="200"/>
        <w:textAlignment w:val="auto"/>
        <w:outlineLvl w:val="9"/>
        <w:rPr>
          <w:rFonts w:ascii="黑体" w:hAnsi="黑体" w:eastAsia="黑体"/>
          <w:sz w:val="32"/>
          <w:szCs w:val="32"/>
        </w:rPr>
      </w:pPr>
      <w:r>
        <w:rPr>
          <w:rFonts w:hint="eastAsia" w:ascii="黑体" w:hAnsi="黑体" w:eastAsia="黑体"/>
          <w:sz w:val="32"/>
          <w:szCs w:val="32"/>
        </w:rPr>
        <w:t>二、部门（单位）收入总体情况</w:t>
      </w:r>
    </w:p>
    <w:p>
      <w:pPr>
        <w:keepNext w:val="0"/>
        <w:keepLines w:val="0"/>
        <w:pageBreakBefore w:val="0"/>
        <w:widowControl w:val="0"/>
        <w:kinsoku/>
        <w:wordWrap/>
        <w:overflowPunct/>
        <w:topLinePunct w:val="0"/>
        <w:bidi w:val="0"/>
        <w:snapToGrid/>
        <w:spacing w:line="576" w:lineRule="exact"/>
        <w:ind w:left="0" w:leftChars="0" w:right="0" w:rightChars="0" w:firstLine="640" w:firstLineChars="200"/>
        <w:textAlignment w:val="auto"/>
        <w:outlineLvl w:val="9"/>
        <w:rPr>
          <w:rFonts w:hint="eastAsia" w:ascii="仿宋" w:hAnsi="仿宋" w:eastAsia="仿宋"/>
          <w:b w:val="0"/>
          <w:bCs w:val="0"/>
          <w:sz w:val="32"/>
          <w:szCs w:val="32"/>
          <w:lang w:eastAsia="zh-CN"/>
        </w:rPr>
      </w:pPr>
      <w:r>
        <w:rPr>
          <w:rFonts w:hint="eastAsia" w:ascii="仿宋" w:hAnsi="仿宋" w:eastAsia="仿宋"/>
          <w:sz w:val="32"/>
          <w:szCs w:val="32"/>
          <w:lang w:val="en-US" w:eastAsia="zh-CN"/>
        </w:rPr>
        <w:t>2026年</w:t>
      </w:r>
      <w:r>
        <w:rPr>
          <w:rFonts w:hint="eastAsia" w:ascii="仿宋" w:hAnsi="仿宋" w:eastAsia="仿宋"/>
          <w:sz w:val="32"/>
          <w:szCs w:val="32"/>
        </w:rPr>
        <w:t>收入预算总量</w:t>
      </w:r>
      <w:r>
        <w:rPr>
          <w:rFonts w:hint="eastAsia" w:ascii="仿宋" w:hAnsi="仿宋" w:eastAsia="仿宋"/>
          <w:sz w:val="32"/>
          <w:szCs w:val="32"/>
          <w:u w:val="none"/>
          <w:lang w:val="en-US" w:eastAsia="zh-CN"/>
        </w:rPr>
        <w:t>3928.88</w:t>
      </w:r>
      <w:r>
        <w:rPr>
          <w:rFonts w:hint="eastAsia" w:ascii="仿宋" w:hAnsi="仿宋" w:eastAsia="仿宋"/>
          <w:sz w:val="32"/>
          <w:szCs w:val="32"/>
        </w:rPr>
        <w:t>万元，同比</w:t>
      </w:r>
      <w:r>
        <w:rPr>
          <w:rFonts w:hint="eastAsia" w:ascii="仿宋" w:hAnsi="仿宋" w:eastAsia="仿宋"/>
          <w:sz w:val="32"/>
          <w:szCs w:val="32"/>
          <w:lang w:val="en-US" w:eastAsia="zh-CN"/>
        </w:rPr>
        <w:t>2024年度减少369.12</w:t>
      </w:r>
      <w:r>
        <w:rPr>
          <w:rFonts w:hint="eastAsia" w:ascii="仿宋" w:hAnsi="仿宋" w:eastAsia="仿宋"/>
          <w:sz w:val="32"/>
          <w:szCs w:val="32"/>
        </w:rPr>
        <w:t>万元，</w:t>
      </w:r>
      <w:r>
        <w:rPr>
          <w:rFonts w:hint="eastAsia" w:ascii="仿宋" w:hAnsi="仿宋" w:eastAsia="仿宋"/>
          <w:sz w:val="32"/>
          <w:szCs w:val="32"/>
          <w:lang w:val="en-US" w:eastAsia="zh-CN"/>
        </w:rPr>
        <w:t>减少8.59%，减少</w:t>
      </w:r>
      <w:r>
        <w:rPr>
          <w:rFonts w:hint="eastAsia" w:ascii="仿宋" w:hAnsi="仿宋" w:eastAsia="仿宋"/>
          <w:sz w:val="32"/>
          <w:szCs w:val="32"/>
        </w:rPr>
        <w:t>主要</w:t>
      </w:r>
      <w:r>
        <w:rPr>
          <w:rFonts w:ascii="仿宋" w:hAnsi="仿宋" w:eastAsia="仿宋"/>
          <w:sz w:val="32"/>
          <w:szCs w:val="32"/>
        </w:rPr>
        <w:t>原因</w:t>
      </w:r>
      <w:r>
        <w:rPr>
          <w:rFonts w:hint="eastAsia" w:ascii="仿宋" w:hAnsi="仿宋" w:eastAsia="仿宋"/>
          <w:sz w:val="32"/>
          <w:szCs w:val="32"/>
          <w:lang w:val="en-US" w:eastAsia="zh-CN"/>
        </w:rPr>
        <w:t>为</w:t>
      </w:r>
      <w:r>
        <w:rPr>
          <w:rFonts w:ascii="仿宋" w:hAnsi="仿宋" w:eastAsia="仿宋"/>
          <w:sz w:val="32"/>
          <w:szCs w:val="32"/>
        </w:rPr>
        <w:t>：</w:t>
      </w:r>
      <w:r>
        <w:rPr>
          <w:rFonts w:hint="eastAsia" w:ascii="仿宋" w:hAnsi="仿宋" w:eastAsia="仿宋"/>
          <w:sz w:val="32"/>
          <w:szCs w:val="32"/>
          <w:lang w:val="en-US" w:eastAsia="zh-CN"/>
        </w:rPr>
        <w:t>人员减少</w:t>
      </w:r>
      <w:r>
        <w:rPr>
          <w:rFonts w:hint="eastAsia" w:ascii="仿宋" w:hAnsi="仿宋" w:eastAsia="仿宋"/>
          <w:sz w:val="32"/>
          <w:szCs w:val="32"/>
          <w:lang w:eastAsia="zh-CN"/>
        </w:rPr>
        <w:t>。</w:t>
      </w:r>
      <w:r>
        <w:rPr>
          <w:rFonts w:hint="eastAsia" w:ascii="仿宋" w:hAnsi="仿宋" w:eastAsia="仿宋"/>
          <w:sz w:val="32"/>
          <w:szCs w:val="32"/>
        </w:rPr>
        <w:t>其中：上年结转</w:t>
      </w:r>
      <w:r>
        <w:rPr>
          <w:rFonts w:hint="eastAsia" w:ascii="仿宋" w:hAnsi="仿宋" w:eastAsia="仿宋"/>
          <w:sz w:val="32"/>
          <w:szCs w:val="32"/>
          <w:u w:val="none"/>
          <w:lang w:val="en-US" w:eastAsia="zh-CN"/>
        </w:rPr>
        <w:t>111.99万</w:t>
      </w:r>
      <w:r>
        <w:rPr>
          <w:rFonts w:hint="eastAsia" w:ascii="仿宋" w:hAnsi="仿宋" w:eastAsia="仿宋"/>
          <w:sz w:val="32"/>
          <w:szCs w:val="32"/>
        </w:rPr>
        <w:t>元，占</w:t>
      </w:r>
      <w:r>
        <w:rPr>
          <w:rFonts w:hint="eastAsia" w:ascii="仿宋" w:hAnsi="仿宋" w:eastAsia="仿宋"/>
          <w:sz w:val="32"/>
          <w:szCs w:val="32"/>
          <w:u w:val="none"/>
          <w:lang w:val="en-US" w:eastAsia="zh-CN"/>
        </w:rPr>
        <w:t>2.85%</w:t>
      </w:r>
      <w:r>
        <w:rPr>
          <w:rFonts w:hint="eastAsia" w:ascii="仿宋" w:hAnsi="仿宋" w:eastAsia="仿宋"/>
          <w:sz w:val="32"/>
          <w:szCs w:val="32"/>
          <w:lang w:eastAsia="zh-CN"/>
        </w:rPr>
        <w:t>，</w:t>
      </w:r>
      <w:r>
        <w:rPr>
          <w:rFonts w:hint="eastAsia" w:ascii="仿宋" w:hAnsi="仿宋" w:eastAsia="仿宋"/>
          <w:b w:val="0"/>
          <w:bCs w:val="0"/>
          <w:sz w:val="32"/>
          <w:szCs w:val="32"/>
        </w:rPr>
        <w:t>2</w:t>
      </w:r>
      <w:r>
        <w:rPr>
          <w:rFonts w:ascii="仿宋" w:hAnsi="仿宋" w:eastAsia="仿宋"/>
          <w:b w:val="0"/>
          <w:bCs w:val="0"/>
          <w:sz w:val="32"/>
          <w:szCs w:val="32"/>
        </w:rPr>
        <w:t>02</w:t>
      </w:r>
      <w:r>
        <w:rPr>
          <w:rFonts w:hint="eastAsia" w:ascii="仿宋" w:hAnsi="仿宋" w:eastAsia="仿宋"/>
          <w:b w:val="0"/>
          <w:bCs w:val="0"/>
          <w:sz w:val="32"/>
          <w:szCs w:val="32"/>
          <w:lang w:val="en-US" w:eastAsia="zh-CN"/>
        </w:rPr>
        <w:t>6</w:t>
      </w:r>
      <w:r>
        <w:rPr>
          <w:rFonts w:hint="eastAsia" w:ascii="仿宋" w:hAnsi="仿宋" w:eastAsia="仿宋"/>
          <w:b w:val="0"/>
          <w:bCs w:val="0"/>
          <w:sz w:val="32"/>
          <w:szCs w:val="32"/>
        </w:rPr>
        <w:t>年一般公共预算拨款收入</w:t>
      </w:r>
      <w:r>
        <w:rPr>
          <w:rFonts w:hint="eastAsia" w:ascii="仿宋" w:hAnsi="仿宋" w:eastAsia="仿宋"/>
          <w:b w:val="0"/>
          <w:bCs w:val="0"/>
          <w:sz w:val="32"/>
          <w:szCs w:val="32"/>
          <w:u w:val="none"/>
          <w:lang w:val="en-US" w:eastAsia="zh-CN"/>
        </w:rPr>
        <w:t>3816.89</w:t>
      </w:r>
      <w:r>
        <w:rPr>
          <w:rFonts w:hint="eastAsia" w:ascii="仿宋" w:hAnsi="仿宋" w:eastAsia="仿宋"/>
          <w:b w:val="0"/>
          <w:bCs w:val="0"/>
          <w:sz w:val="32"/>
          <w:szCs w:val="32"/>
        </w:rPr>
        <w:t>万元，</w:t>
      </w:r>
      <w:r>
        <w:rPr>
          <w:rFonts w:hint="eastAsia" w:ascii="仿宋" w:hAnsi="仿宋" w:eastAsia="仿宋"/>
          <w:b w:val="0"/>
          <w:bCs w:val="0"/>
          <w:sz w:val="32"/>
          <w:szCs w:val="32"/>
          <w:u w:val="none"/>
        </w:rPr>
        <w:t>占</w:t>
      </w:r>
      <w:r>
        <w:rPr>
          <w:rFonts w:hint="eastAsia" w:ascii="仿宋" w:hAnsi="仿宋" w:eastAsia="仿宋"/>
          <w:b w:val="0"/>
          <w:bCs w:val="0"/>
          <w:sz w:val="32"/>
          <w:szCs w:val="32"/>
          <w:u w:val="none"/>
          <w:lang w:val="en-US" w:eastAsia="zh-CN"/>
        </w:rPr>
        <w:t>97.15</w:t>
      </w:r>
      <w:r>
        <w:rPr>
          <w:rFonts w:hint="eastAsia" w:ascii="仿宋" w:hAnsi="仿宋" w:eastAsia="仿宋"/>
          <w:b w:val="0"/>
          <w:bCs w:val="0"/>
          <w:sz w:val="32"/>
          <w:szCs w:val="32"/>
          <w:u w:val="none"/>
        </w:rPr>
        <w:t>%</w:t>
      </w:r>
      <w:r>
        <w:rPr>
          <w:rFonts w:hint="eastAsia" w:ascii="仿宋" w:hAnsi="仿宋" w:eastAsia="仿宋"/>
          <w:b w:val="0"/>
          <w:bCs w:val="0"/>
          <w:sz w:val="32"/>
          <w:szCs w:val="32"/>
          <w:u w:val="none"/>
          <w:lang w:eastAsia="zh-CN"/>
        </w:rPr>
        <w:t>。</w:t>
      </w:r>
    </w:p>
    <w:p>
      <w:pPr>
        <w:keepNext w:val="0"/>
        <w:keepLines w:val="0"/>
        <w:pageBreakBefore w:val="0"/>
        <w:widowControl w:val="0"/>
        <w:kinsoku/>
        <w:wordWrap/>
        <w:overflowPunct/>
        <w:topLinePunct w:val="0"/>
        <w:bidi w:val="0"/>
        <w:snapToGrid/>
        <w:spacing w:line="576" w:lineRule="exact"/>
        <w:ind w:left="0" w:leftChars="0" w:right="0" w:rightChars="0" w:firstLine="640" w:firstLineChars="200"/>
        <w:textAlignment w:val="auto"/>
        <w:outlineLvl w:val="9"/>
        <w:rPr>
          <w:rFonts w:ascii="黑体" w:hAnsi="黑体" w:eastAsia="黑体"/>
          <w:sz w:val="32"/>
          <w:szCs w:val="32"/>
        </w:rPr>
      </w:pPr>
      <w:r>
        <w:rPr>
          <w:rFonts w:hint="eastAsia" w:ascii="黑体" w:hAnsi="黑体" w:eastAsia="黑体"/>
          <w:sz w:val="32"/>
          <w:szCs w:val="32"/>
        </w:rPr>
        <w:t>三、部门（单位）支出总体情况</w:t>
      </w:r>
    </w:p>
    <w:p>
      <w:pPr>
        <w:keepNext w:val="0"/>
        <w:keepLines w:val="0"/>
        <w:pageBreakBefore w:val="0"/>
        <w:widowControl w:val="0"/>
        <w:kinsoku/>
        <w:wordWrap/>
        <w:overflowPunct/>
        <w:topLinePunct w:val="0"/>
        <w:bidi w:val="0"/>
        <w:snapToGrid/>
        <w:spacing w:line="576" w:lineRule="exact"/>
        <w:ind w:left="0" w:leftChars="0" w:right="0" w:rightChars="0" w:firstLine="640" w:firstLineChars="200"/>
        <w:textAlignment w:val="auto"/>
        <w:outlineLvl w:val="9"/>
        <w:rPr>
          <w:rFonts w:hint="eastAsia" w:ascii="仿宋" w:hAnsi="仿宋" w:eastAsia="仿宋"/>
          <w:color w:val="C00000"/>
          <w:sz w:val="32"/>
          <w:szCs w:val="32"/>
          <w:lang w:val="en-US" w:eastAsia="zh-CN"/>
        </w:rPr>
      </w:pPr>
      <w:r>
        <w:rPr>
          <w:rFonts w:hint="eastAsia" w:ascii="仿宋" w:hAnsi="仿宋" w:eastAsia="仿宋"/>
          <w:sz w:val="32"/>
          <w:szCs w:val="32"/>
          <w:lang w:val="en-US" w:eastAsia="zh-CN"/>
        </w:rPr>
        <w:t>2026年</w:t>
      </w:r>
      <w:r>
        <w:rPr>
          <w:rFonts w:hint="eastAsia" w:ascii="仿宋" w:hAnsi="仿宋" w:eastAsia="仿宋"/>
          <w:sz w:val="32"/>
          <w:szCs w:val="32"/>
        </w:rPr>
        <w:t>支出预算总量</w:t>
      </w:r>
      <w:r>
        <w:rPr>
          <w:rFonts w:hint="eastAsia" w:ascii="仿宋" w:hAnsi="仿宋" w:eastAsia="仿宋"/>
          <w:sz w:val="32"/>
          <w:szCs w:val="32"/>
          <w:u w:val="none"/>
          <w:lang w:val="en-US" w:eastAsia="zh-CN"/>
        </w:rPr>
        <w:t>3928.88</w:t>
      </w:r>
      <w:r>
        <w:rPr>
          <w:rFonts w:hint="eastAsia" w:ascii="仿宋" w:hAnsi="仿宋" w:eastAsia="仿宋"/>
          <w:sz w:val="32"/>
          <w:szCs w:val="32"/>
        </w:rPr>
        <w:t>万元，同比</w:t>
      </w:r>
      <w:r>
        <w:rPr>
          <w:rFonts w:hint="eastAsia" w:ascii="仿宋" w:hAnsi="仿宋" w:eastAsia="仿宋"/>
          <w:sz w:val="32"/>
          <w:szCs w:val="32"/>
          <w:lang w:val="en-US" w:eastAsia="zh-CN"/>
        </w:rPr>
        <w:t>2025年度减少369.12</w:t>
      </w:r>
      <w:r>
        <w:rPr>
          <w:rFonts w:hint="eastAsia" w:ascii="仿宋" w:hAnsi="仿宋" w:eastAsia="仿宋"/>
          <w:sz w:val="32"/>
          <w:szCs w:val="32"/>
        </w:rPr>
        <w:t>万元，</w:t>
      </w:r>
      <w:r>
        <w:rPr>
          <w:rFonts w:hint="eastAsia" w:ascii="仿宋" w:hAnsi="仿宋" w:eastAsia="仿宋"/>
          <w:sz w:val="32"/>
          <w:szCs w:val="32"/>
          <w:lang w:val="en-US" w:eastAsia="zh-CN"/>
        </w:rPr>
        <w:t>减少8.59%，减少</w:t>
      </w:r>
      <w:r>
        <w:rPr>
          <w:rFonts w:hint="eastAsia" w:ascii="仿宋" w:hAnsi="仿宋" w:eastAsia="仿宋"/>
          <w:sz w:val="32"/>
          <w:szCs w:val="32"/>
        </w:rPr>
        <w:t>主要</w:t>
      </w:r>
      <w:r>
        <w:rPr>
          <w:rFonts w:ascii="仿宋" w:hAnsi="仿宋" w:eastAsia="仿宋"/>
          <w:sz w:val="32"/>
          <w:szCs w:val="32"/>
        </w:rPr>
        <w:t>原因</w:t>
      </w:r>
      <w:r>
        <w:rPr>
          <w:rFonts w:hint="eastAsia" w:ascii="仿宋" w:hAnsi="仿宋" w:eastAsia="仿宋"/>
          <w:sz w:val="32"/>
          <w:szCs w:val="32"/>
          <w:lang w:val="en-US" w:eastAsia="zh-CN"/>
        </w:rPr>
        <w:t>为</w:t>
      </w:r>
      <w:r>
        <w:rPr>
          <w:rFonts w:hint="eastAsia" w:ascii="仿宋" w:hAnsi="仿宋" w:eastAsia="仿宋"/>
          <w:sz w:val="32"/>
          <w:szCs w:val="32"/>
          <w:lang w:eastAsia="zh-CN"/>
        </w:rPr>
        <w:t>：</w:t>
      </w:r>
      <w:r>
        <w:rPr>
          <w:rFonts w:hint="eastAsia" w:ascii="仿宋" w:hAnsi="仿宋" w:eastAsia="仿宋"/>
          <w:sz w:val="32"/>
          <w:szCs w:val="32"/>
          <w:lang w:val="en-US" w:eastAsia="zh-CN"/>
        </w:rPr>
        <w:t>人员减少及</w:t>
      </w:r>
      <w:r>
        <w:rPr>
          <w:rFonts w:hint="eastAsia" w:ascii="仿宋" w:hAnsi="仿宋" w:eastAsia="仿宋"/>
          <w:color w:val="000000" w:themeColor="text1"/>
          <w:sz w:val="32"/>
          <w:szCs w:val="32"/>
          <w:u w:val="none"/>
          <w:lang w:val="en-US" w:eastAsia="zh-CN"/>
          <w14:textFill>
            <w14:solidFill>
              <w14:schemeClr w14:val="tx1"/>
            </w14:solidFill>
          </w14:textFill>
        </w:rPr>
        <w:t>智慧交通项目减少</w:t>
      </w:r>
      <w:r>
        <w:rPr>
          <w:rFonts w:hint="eastAsia" w:ascii="仿宋" w:hAnsi="仿宋" w:eastAsia="仿宋"/>
          <w:sz w:val="32"/>
          <w:szCs w:val="32"/>
        </w:rPr>
        <w:t>。其中：基本支出</w:t>
      </w:r>
      <w:r>
        <w:rPr>
          <w:rFonts w:hint="eastAsia" w:ascii="仿宋" w:hAnsi="仿宋" w:eastAsia="仿宋"/>
          <w:sz w:val="32"/>
          <w:szCs w:val="32"/>
          <w:lang w:val="en-US" w:eastAsia="zh-CN"/>
        </w:rPr>
        <w:t>2099.50</w:t>
      </w:r>
      <w:r>
        <w:rPr>
          <w:rFonts w:hint="eastAsia" w:ascii="仿宋" w:hAnsi="仿宋" w:eastAsia="仿宋"/>
          <w:sz w:val="32"/>
          <w:szCs w:val="32"/>
        </w:rPr>
        <w:t>万元，占</w:t>
      </w:r>
      <w:r>
        <w:rPr>
          <w:rFonts w:hint="eastAsia" w:ascii="仿宋" w:hAnsi="仿宋" w:eastAsia="仿宋"/>
          <w:sz w:val="32"/>
          <w:szCs w:val="32"/>
          <w:u w:val="none"/>
          <w:lang w:val="en-US" w:eastAsia="zh-CN"/>
        </w:rPr>
        <w:t>53.44</w:t>
      </w:r>
      <w:r>
        <w:rPr>
          <w:rFonts w:hint="eastAsia" w:ascii="仿宋" w:hAnsi="仿宋" w:eastAsia="仿宋"/>
          <w:sz w:val="32"/>
          <w:szCs w:val="32"/>
        </w:rPr>
        <w:t>%</w:t>
      </w:r>
      <w:r>
        <w:rPr>
          <w:rFonts w:hint="eastAsia" w:ascii="仿宋" w:hAnsi="仿宋" w:eastAsia="仿宋"/>
          <w:sz w:val="32"/>
          <w:szCs w:val="32"/>
          <w:lang w:eastAsia="zh-CN"/>
        </w:rPr>
        <w:t>，较</w:t>
      </w:r>
      <w:r>
        <w:rPr>
          <w:rFonts w:hint="eastAsia" w:ascii="仿宋" w:hAnsi="仿宋" w:eastAsia="仿宋"/>
          <w:sz w:val="32"/>
          <w:szCs w:val="32"/>
          <w:lang w:val="en-US" w:eastAsia="zh-CN"/>
        </w:rPr>
        <w:t>2025年减少238.7万元，减少10.21%，减少原因为：人员减少</w:t>
      </w:r>
      <w:r>
        <w:rPr>
          <w:rFonts w:hint="eastAsia" w:ascii="仿宋" w:hAnsi="仿宋" w:eastAsia="仿宋"/>
          <w:sz w:val="32"/>
          <w:szCs w:val="32"/>
        </w:rPr>
        <w:t>；项目支出</w:t>
      </w:r>
      <w:r>
        <w:rPr>
          <w:rFonts w:hint="eastAsia" w:ascii="仿宋" w:hAnsi="仿宋" w:eastAsia="仿宋"/>
          <w:sz w:val="32"/>
          <w:szCs w:val="32"/>
          <w:lang w:val="en-US" w:eastAsia="zh-CN"/>
        </w:rPr>
        <w:t>1959.81</w:t>
      </w:r>
      <w:r>
        <w:rPr>
          <w:rFonts w:hint="eastAsia" w:ascii="仿宋" w:hAnsi="仿宋" w:eastAsia="仿宋"/>
          <w:sz w:val="32"/>
          <w:szCs w:val="32"/>
        </w:rPr>
        <w:t>万元，</w:t>
      </w:r>
      <w:r>
        <w:rPr>
          <w:rFonts w:hint="eastAsia" w:ascii="仿宋" w:hAnsi="仿宋" w:eastAsia="仿宋"/>
          <w:sz w:val="32"/>
          <w:szCs w:val="32"/>
          <w:u w:val="none"/>
        </w:rPr>
        <w:t>占</w:t>
      </w:r>
      <w:r>
        <w:rPr>
          <w:rFonts w:hint="eastAsia" w:ascii="仿宋" w:hAnsi="仿宋" w:eastAsia="仿宋"/>
          <w:sz w:val="32"/>
          <w:szCs w:val="32"/>
          <w:u w:val="none"/>
          <w:lang w:val="en-US" w:eastAsia="zh-CN"/>
        </w:rPr>
        <w:t>46.56</w:t>
      </w:r>
      <w:r>
        <w:rPr>
          <w:rFonts w:hint="eastAsia" w:ascii="仿宋" w:hAnsi="仿宋" w:eastAsia="仿宋"/>
          <w:sz w:val="32"/>
          <w:szCs w:val="32"/>
          <w:u w:val="none"/>
        </w:rPr>
        <w:t>%</w:t>
      </w:r>
      <w:r>
        <w:rPr>
          <w:rFonts w:hint="eastAsia" w:ascii="仿宋" w:hAnsi="仿宋" w:eastAsia="仿宋"/>
          <w:sz w:val="32"/>
          <w:szCs w:val="32"/>
          <w:u w:val="none"/>
          <w:lang w:eastAsia="zh-CN"/>
        </w:rPr>
        <w:t>，较</w:t>
      </w:r>
      <w:r>
        <w:rPr>
          <w:rFonts w:hint="eastAsia" w:ascii="仿宋" w:hAnsi="仿宋" w:eastAsia="仿宋"/>
          <w:sz w:val="32"/>
          <w:szCs w:val="32"/>
          <w:u w:val="none"/>
          <w:lang w:val="en-US" w:eastAsia="zh-CN"/>
        </w:rPr>
        <w:t>2025年减少130.43万元，减少6.66%，</w:t>
      </w:r>
      <w:r>
        <w:rPr>
          <w:rFonts w:hint="eastAsia" w:ascii="仿宋" w:hAnsi="仿宋" w:eastAsia="仿宋"/>
          <w:color w:val="000000" w:themeColor="text1"/>
          <w:sz w:val="32"/>
          <w:szCs w:val="32"/>
          <w:u w:val="none"/>
          <w:lang w:val="en-US" w:eastAsia="zh-CN"/>
          <w14:textFill>
            <w14:solidFill>
              <w14:schemeClr w14:val="tx1"/>
            </w14:solidFill>
          </w14:textFill>
        </w:rPr>
        <w:t>减少原因为：减少智慧交通项目</w:t>
      </w:r>
      <w:r>
        <w:rPr>
          <w:rFonts w:hint="eastAsia" w:ascii="仿宋" w:hAnsi="仿宋" w:eastAsia="仿宋"/>
          <w:color w:val="000000" w:themeColor="text1"/>
          <w:sz w:val="32"/>
          <w:szCs w:val="32"/>
          <w:u w:val="none"/>
          <w:lang w:eastAsia="zh-CN"/>
          <w14:textFill>
            <w14:solidFill>
              <w14:schemeClr w14:val="tx1"/>
            </w14:solidFill>
          </w14:textFill>
        </w:rPr>
        <w:t>。</w:t>
      </w:r>
    </w:p>
    <w:p>
      <w:pPr>
        <w:keepNext w:val="0"/>
        <w:keepLines w:val="0"/>
        <w:pageBreakBefore w:val="0"/>
        <w:widowControl w:val="0"/>
        <w:kinsoku/>
        <w:wordWrap/>
        <w:overflowPunct/>
        <w:topLinePunct w:val="0"/>
        <w:bidi w:val="0"/>
        <w:snapToGrid/>
        <w:spacing w:line="576" w:lineRule="exact"/>
        <w:ind w:left="0" w:leftChars="0" w:right="0" w:rightChars="0" w:firstLine="640" w:firstLineChars="200"/>
        <w:textAlignment w:val="auto"/>
        <w:outlineLvl w:val="9"/>
        <w:rPr>
          <w:rFonts w:ascii="黑体" w:hAnsi="黑体" w:eastAsia="黑体"/>
          <w:sz w:val="32"/>
          <w:szCs w:val="32"/>
        </w:rPr>
      </w:pPr>
      <w:r>
        <w:rPr>
          <w:rFonts w:hint="eastAsia" w:ascii="黑体" w:hAnsi="黑体" w:eastAsia="黑体"/>
          <w:sz w:val="32"/>
          <w:szCs w:val="32"/>
        </w:rPr>
        <w:t>四、部门（单位）财政拨款收支总体情况</w:t>
      </w:r>
    </w:p>
    <w:p>
      <w:pPr>
        <w:keepNext w:val="0"/>
        <w:keepLines w:val="0"/>
        <w:pageBreakBefore w:val="0"/>
        <w:widowControl w:val="0"/>
        <w:kinsoku/>
        <w:wordWrap/>
        <w:overflowPunct/>
        <w:topLinePunct w:val="0"/>
        <w:bidi w:val="0"/>
        <w:snapToGrid/>
        <w:spacing w:line="576" w:lineRule="exact"/>
        <w:ind w:left="0" w:leftChars="0" w:right="0" w:rightChars="0" w:firstLine="640" w:firstLineChars="200"/>
        <w:textAlignment w:val="auto"/>
        <w:outlineLvl w:val="9"/>
        <w:rPr>
          <w:rFonts w:ascii="仿宋" w:hAnsi="仿宋" w:eastAsia="仿宋"/>
          <w:sz w:val="32"/>
          <w:szCs w:val="32"/>
        </w:rPr>
      </w:pPr>
      <w:r>
        <w:rPr>
          <w:rFonts w:hint="eastAsia" w:ascii="仿宋" w:hAnsi="仿宋" w:eastAsia="仿宋"/>
          <w:sz w:val="32"/>
          <w:szCs w:val="32"/>
          <w:lang w:val="en-US" w:eastAsia="zh-CN"/>
        </w:rPr>
        <w:t>2026年</w:t>
      </w:r>
      <w:r>
        <w:rPr>
          <w:rFonts w:hint="eastAsia" w:ascii="仿宋" w:hAnsi="仿宋" w:eastAsia="仿宋"/>
          <w:sz w:val="32"/>
          <w:szCs w:val="32"/>
        </w:rPr>
        <w:t>财政拨款收支总预算</w:t>
      </w:r>
      <w:r>
        <w:rPr>
          <w:rFonts w:hint="eastAsia" w:ascii="仿宋" w:hAnsi="仿宋" w:eastAsia="仿宋"/>
          <w:sz w:val="32"/>
          <w:szCs w:val="32"/>
          <w:u w:val="none"/>
          <w:lang w:val="en-US" w:eastAsia="zh-CN"/>
        </w:rPr>
        <w:t>3928.88</w:t>
      </w:r>
      <w:r>
        <w:rPr>
          <w:rFonts w:hint="eastAsia" w:ascii="仿宋" w:hAnsi="仿宋" w:eastAsia="仿宋"/>
          <w:sz w:val="32"/>
          <w:szCs w:val="32"/>
        </w:rPr>
        <w:t>万元，同比</w:t>
      </w:r>
      <w:r>
        <w:rPr>
          <w:rFonts w:hint="eastAsia" w:ascii="仿宋" w:hAnsi="仿宋" w:eastAsia="仿宋"/>
          <w:sz w:val="32"/>
          <w:szCs w:val="32"/>
          <w:lang w:val="en-US" w:eastAsia="zh-CN"/>
        </w:rPr>
        <w:t>2025年度减少369.12</w:t>
      </w:r>
      <w:r>
        <w:rPr>
          <w:rFonts w:hint="eastAsia" w:ascii="仿宋" w:hAnsi="仿宋" w:eastAsia="仿宋"/>
          <w:sz w:val="32"/>
          <w:szCs w:val="32"/>
        </w:rPr>
        <w:t>万元，</w:t>
      </w:r>
      <w:r>
        <w:rPr>
          <w:rFonts w:hint="eastAsia" w:ascii="仿宋" w:hAnsi="仿宋" w:eastAsia="仿宋"/>
          <w:sz w:val="32"/>
          <w:szCs w:val="32"/>
          <w:lang w:val="en-US" w:eastAsia="zh-CN"/>
        </w:rPr>
        <w:t>减少8.59%，减少</w:t>
      </w:r>
      <w:r>
        <w:rPr>
          <w:rFonts w:hint="eastAsia" w:ascii="仿宋" w:hAnsi="仿宋" w:eastAsia="仿宋"/>
          <w:sz w:val="32"/>
          <w:szCs w:val="32"/>
        </w:rPr>
        <w:t>主要</w:t>
      </w:r>
      <w:r>
        <w:rPr>
          <w:rFonts w:ascii="仿宋" w:hAnsi="仿宋" w:eastAsia="仿宋"/>
          <w:sz w:val="32"/>
          <w:szCs w:val="32"/>
        </w:rPr>
        <w:t>原因</w:t>
      </w:r>
      <w:r>
        <w:rPr>
          <w:rFonts w:hint="eastAsia" w:ascii="仿宋" w:hAnsi="仿宋" w:eastAsia="仿宋"/>
          <w:sz w:val="32"/>
          <w:szCs w:val="32"/>
          <w:lang w:val="en-US" w:eastAsia="zh-CN"/>
        </w:rPr>
        <w:t>为</w:t>
      </w:r>
      <w:r>
        <w:rPr>
          <w:rFonts w:ascii="仿宋" w:hAnsi="仿宋" w:eastAsia="仿宋"/>
          <w:sz w:val="32"/>
          <w:szCs w:val="32"/>
        </w:rPr>
        <w:t>：</w:t>
      </w:r>
      <w:r>
        <w:rPr>
          <w:rFonts w:hint="eastAsia" w:ascii="仿宋" w:hAnsi="仿宋" w:eastAsia="仿宋"/>
          <w:sz w:val="32"/>
          <w:szCs w:val="32"/>
          <w:lang w:val="en-US" w:eastAsia="zh-CN"/>
        </w:rPr>
        <w:t>人员减少及</w:t>
      </w:r>
      <w:r>
        <w:rPr>
          <w:rFonts w:hint="eastAsia" w:ascii="仿宋" w:hAnsi="仿宋" w:eastAsia="仿宋"/>
          <w:color w:val="000000" w:themeColor="text1"/>
          <w:sz w:val="32"/>
          <w:szCs w:val="32"/>
          <w:u w:val="none"/>
          <w:lang w:val="en-US" w:eastAsia="zh-CN"/>
          <w14:textFill>
            <w14:solidFill>
              <w14:schemeClr w14:val="tx1"/>
            </w14:solidFill>
          </w14:textFill>
        </w:rPr>
        <w:t>智慧交通项目减少</w:t>
      </w:r>
      <w:r>
        <w:rPr>
          <w:rFonts w:hint="eastAsia" w:ascii="仿宋" w:hAnsi="仿宋" w:eastAsia="仿宋"/>
          <w:sz w:val="32"/>
          <w:szCs w:val="32"/>
        </w:rPr>
        <w:t>。收入包括：一般公共预算当年拨款收入</w:t>
      </w:r>
      <w:r>
        <w:rPr>
          <w:rFonts w:hint="eastAsia" w:ascii="仿宋" w:hAnsi="仿宋" w:eastAsia="仿宋"/>
          <w:sz w:val="32"/>
          <w:szCs w:val="32"/>
          <w:lang w:val="en-US" w:eastAsia="zh-CN"/>
        </w:rPr>
        <w:t>3816.89</w:t>
      </w:r>
      <w:r>
        <w:rPr>
          <w:rFonts w:hint="eastAsia" w:ascii="仿宋" w:hAnsi="仿宋" w:eastAsia="仿宋"/>
          <w:sz w:val="32"/>
          <w:szCs w:val="32"/>
          <w:u w:val="none"/>
          <w:lang w:val="en-US" w:eastAsia="zh-CN"/>
        </w:rPr>
        <w:t>万</w:t>
      </w:r>
      <w:r>
        <w:rPr>
          <w:rFonts w:hint="eastAsia" w:ascii="仿宋" w:hAnsi="仿宋" w:eastAsia="仿宋"/>
          <w:sz w:val="32"/>
          <w:szCs w:val="32"/>
        </w:rPr>
        <w:t>元</w:t>
      </w:r>
      <w:r>
        <w:rPr>
          <w:rFonts w:hint="eastAsia" w:ascii="仿宋" w:hAnsi="仿宋" w:eastAsia="仿宋"/>
          <w:sz w:val="32"/>
          <w:szCs w:val="32"/>
          <w:lang w:eastAsia="zh-CN"/>
        </w:rPr>
        <w:t>和上年结转结余一般公共预算资金</w:t>
      </w:r>
      <w:r>
        <w:rPr>
          <w:rFonts w:hint="eastAsia" w:ascii="仿宋" w:hAnsi="仿宋" w:eastAsia="仿宋"/>
          <w:sz w:val="32"/>
          <w:szCs w:val="32"/>
          <w:lang w:val="en-US" w:eastAsia="zh-CN"/>
        </w:rPr>
        <w:t>111.99万元。</w:t>
      </w:r>
      <w:r>
        <w:rPr>
          <w:rFonts w:hint="eastAsia" w:ascii="仿宋" w:hAnsi="仿宋" w:eastAsia="仿宋"/>
          <w:sz w:val="32"/>
          <w:szCs w:val="32"/>
        </w:rPr>
        <w:t>支出包括：</w:t>
      </w:r>
      <w:r>
        <w:rPr>
          <w:rFonts w:hint="eastAsia" w:ascii="仿宋" w:hAnsi="仿宋" w:eastAsia="仿宋"/>
          <w:sz w:val="32"/>
          <w:szCs w:val="32"/>
          <w:lang w:eastAsia="zh-CN"/>
        </w:rPr>
        <w:t>公共安全支出</w:t>
      </w:r>
      <w:r>
        <w:rPr>
          <w:rFonts w:hint="eastAsia" w:ascii="仿宋" w:hAnsi="仿宋" w:eastAsia="仿宋"/>
          <w:b w:val="0"/>
          <w:bCs w:val="0"/>
          <w:sz w:val="32"/>
          <w:szCs w:val="32"/>
          <w:u w:val="none"/>
          <w:lang w:val="en-US" w:eastAsia="zh-CN"/>
        </w:rPr>
        <w:t>3293.36</w:t>
      </w:r>
      <w:r>
        <w:rPr>
          <w:rFonts w:hint="eastAsia" w:ascii="仿宋" w:hAnsi="仿宋" w:eastAsia="仿宋"/>
          <w:sz w:val="32"/>
          <w:szCs w:val="32"/>
          <w:lang w:val="en-US" w:eastAsia="zh-CN"/>
        </w:rPr>
        <w:t>万元、社会保障和就业支出392.85万元、卫生健康支出116.64万元、</w:t>
      </w:r>
      <w:r>
        <w:rPr>
          <w:rFonts w:hint="eastAsia" w:ascii="仿宋" w:hAnsi="仿宋" w:eastAsia="仿宋"/>
          <w:sz w:val="32"/>
          <w:szCs w:val="32"/>
        </w:rPr>
        <w:t>住房保障支出</w:t>
      </w:r>
      <w:r>
        <w:rPr>
          <w:rFonts w:hint="eastAsia" w:ascii="仿宋" w:hAnsi="仿宋" w:eastAsia="仿宋"/>
          <w:sz w:val="32"/>
          <w:szCs w:val="32"/>
          <w:lang w:val="en-US" w:eastAsia="zh-CN"/>
        </w:rPr>
        <w:t>126.04万元</w:t>
      </w:r>
      <w:r>
        <w:rPr>
          <w:rFonts w:hint="eastAsia" w:ascii="仿宋" w:hAnsi="仿宋" w:eastAsia="仿宋"/>
          <w:sz w:val="32"/>
          <w:szCs w:val="32"/>
        </w:rPr>
        <w:t>。</w:t>
      </w:r>
    </w:p>
    <w:p>
      <w:pPr>
        <w:keepNext w:val="0"/>
        <w:keepLines w:val="0"/>
        <w:pageBreakBefore w:val="0"/>
        <w:widowControl w:val="0"/>
        <w:kinsoku/>
        <w:wordWrap/>
        <w:overflowPunct/>
        <w:topLinePunct w:val="0"/>
        <w:bidi w:val="0"/>
        <w:snapToGrid/>
        <w:spacing w:line="576" w:lineRule="exact"/>
        <w:ind w:left="0" w:leftChars="0" w:right="0" w:rightChars="0" w:firstLine="640" w:firstLineChars="200"/>
        <w:textAlignment w:val="auto"/>
        <w:outlineLvl w:val="9"/>
        <w:rPr>
          <w:rFonts w:ascii="黑体" w:hAnsi="黑体" w:eastAsia="黑体"/>
          <w:sz w:val="32"/>
          <w:szCs w:val="32"/>
        </w:rPr>
      </w:pPr>
      <w:r>
        <w:rPr>
          <w:rFonts w:hint="eastAsia" w:ascii="黑体" w:hAnsi="黑体" w:eastAsia="黑体"/>
          <w:sz w:val="32"/>
          <w:szCs w:val="32"/>
        </w:rPr>
        <w:t>五、一般公共预算支出总体情况</w:t>
      </w:r>
    </w:p>
    <w:p>
      <w:pPr>
        <w:keepNext w:val="0"/>
        <w:keepLines w:val="0"/>
        <w:pageBreakBefore w:val="0"/>
        <w:widowControl w:val="0"/>
        <w:kinsoku/>
        <w:wordWrap/>
        <w:overflowPunct/>
        <w:topLinePunct w:val="0"/>
        <w:bidi w:val="0"/>
        <w:snapToGrid/>
        <w:spacing w:line="576" w:lineRule="exact"/>
        <w:ind w:left="0" w:leftChars="0" w:right="0" w:rightChars="0" w:firstLine="640" w:firstLineChars="200"/>
        <w:textAlignment w:val="auto"/>
        <w:outlineLvl w:val="9"/>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（一）一般公共预算当年拨款规模变化情况。</w:t>
      </w:r>
    </w:p>
    <w:p>
      <w:pPr>
        <w:keepNext w:val="0"/>
        <w:keepLines w:val="0"/>
        <w:pageBreakBefore w:val="0"/>
        <w:widowControl w:val="0"/>
        <w:kinsoku/>
        <w:wordWrap/>
        <w:overflowPunct/>
        <w:topLinePunct w:val="0"/>
        <w:bidi w:val="0"/>
        <w:snapToGrid/>
        <w:spacing w:line="576" w:lineRule="exact"/>
        <w:ind w:left="0" w:leftChars="0" w:right="0" w:rightChars="0" w:firstLine="640" w:firstLineChars="200"/>
        <w:textAlignment w:val="auto"/>
        <w:outlineLvl w:val="9"/>
        <w:rPr>
          <w:rFonts w:ascii="仿宋" w:hAnsi="仿宋" w:eastAsia="仿宋"/>
          <w:sz w:val="32"/>
          <w:szCs w:val="32"/>
        </w:rPr>
      </w:pPr>
      <w:r>
        <w:rPr>
          <w:rFonts w:hint="eastAsia" w:ascii="仿宋" w:hAnsi="仿宋" w:eastAsia="仿宋"/>
          <w:sz w:val="32"/>
          <w:szCs w:val="32"/>
          <w:lang w:val="en-US" w:eastAsia="zh-CN"/>
        </w:rPr>
        <w:t>2026年</w:t>
      </w:r>
      <w:r>
        <w:rPr>
          <w:rFonts w:hint="eastAsia" w:ascii="仿宋" w:hAnsi="仿宋" w:eastAsia="仿宋"/>
          <w:sz w:val="32"/>
          <w:szCs w:val="32"/>
        </w:rPr>
        <w:t>一般公共预算当年拨款</w:t>
      </w:r>
      <w:r>
        <w:rPr>
          <w:rFonts w:hint="eastAsia" w:ascii="仿宋" w:hAnsi="仿宋" w:eastAsia="仿宋"/>
          <w:sz w:val="32"/>
          <w:szCs w:val="32"/>
          <w:u w:val="none"/>
          <w:lang w:val="en-US" w:eastAsia="zh-CN"/>
        </w:rPr>
        <w:t>3928.88</w:t>
      </w:r>
      <w:r>
        <w:rPr>
          <w:rFonts w:hint="eastAsia" w:ascii="仿宋" w:hAnsi="仿宋" w:eastAsia="仿宋"/>
          <w:sz w:val="32"/>
          <w:szCs w:val="32"/>
        </w:rPr>
        <w:t>万元，同比</w:t>
      </w:r>
      <w:r>
        <w:rPr>
          <w:rFonts w:hint="eastAsia" w:ascii="仿宋" w:hAnsi="仿宋" w:eastAsia="仿宋"/>
          <w:sz w:val="32"/>
          <w:szCs w:val="32"/>
          <w:lang w:val="en-US" w:eastAsia="zh-CN"/>
        </w:rPr>
        <w:t>2025年度减少369.12</w:t>
      </w:r>
      <w:r>
        <w:rPr>
          <w:rFonts w:hint="eastAsia" w:ascii="仿宋" w:hAnsi="仿宋" w:eastAsia="仿宋"/>
          <w:sz w:val="32"/>
          <w:szCs w:val="32"/>
        </w:rPr>
        <w:t>万元，</w:t>
      </w:r>
      <w:r>
        <w:rPr>
          <w:rFonts w:hint="eastAsia" w:ascii="仿宋" w:hAnsi="仿宋" w:eastAsia="仿宋"/>
          <w:sz w:val="32"/>
          <w:szCs w:val="32"/>
          <w:lang w:val="en-US" w:eastAsia="zh-CN"/>
        </w:rPr>
        <w:t>减少8.59%，减少</w:t>
      </w:r>
      <w:r>
        <w:rPr>
          <w:rFonts w:hint="eastAsia" w:ascii="仿宋" w:hAnsi="仿宋" w:eastAsia="仿宋"/>
          <w:sz w:val="32"/>
          <w:szCs w:val="32"/>
        </w:rPr>
        <w:t>主要</w:t>
      </w:r>
      <w:r>
        <w:rPr>
          <w:rFonts w:ascii="仿宋" w:hAnsi="仿宋" w:eastAsia="仿宋"/>
          <w:sz w:val="32"/>
          <w:szCs w:val="32"/>
        </w:rPr>
        <w:t>原因</w:t>
      </w:r>
      <w:r>
        <w:rPr>
          <w:rFonts w:hint="eastAsia" w:ascii="仿宋" w:hAnsi="仿宋" w:eastAsia="仿宋"/>
          <w:sz w:val="32"/>
          <w:szCs w:val="32"/>
          <w:lang w:val="en-US" w:eastAsia="zh-CN"/>
        </w:rPr>
        <w:t>为</w:t>
      </w:r>
      <w:r>
        <w:rPr>
          <w:rFonts w:hint="eastAsia" w:ascii="仿宋" w:hAnsi="仿宋" w:eastAsia="仿宋"/>
          <w:sz w:val="32"/>
          <w:szCs w:val="32"/>
          <w:lang w:eastAsia="zh-CN"/>
        </w:rPr>
        <w:t>：</w:t>
      </w:r>
      <w:r>
        <w:rPr>
          <w:rFonts w:hint="eastAsia" w:ascii="仿宋" w:hAnsi="仿宋" w:eastAsia="仿宋"/>
          <w:sz w:val="32"/>
          <w:szCs w:val="32"/>
          <w:lang w:val="en-US" w:eastAsia="zh-CN"/>
        </w:rPr>
        <w:t>人员减少及</w:t>
      </w:r>
      <w:r>
        <w:rPr>
          <w:rFonts w:hint="eastAsia" w:ascii="仿宋" w:hAnsi="仿宋" w:eastAsia="仿宋"/>
          <w:color w:val="000000" w:themeColor="text1"/>
          <w:sz w:val="32"/>
          <w:szCs w:val="32"/>
          <w:u w:val="none"/>
          <w:lang w:val="en-US" w:eastAsia="zh-CN"/>
          <w14:textFill>
            <w14:solidFill>
              <w14:schemeClr w14:val="tx1"/>
            </w14:solidFill>
          </w14:textFill>
        </w:rPr>
        <w:t>智慧交通项目减少</w:t>
      </w:r>
      <w:r>
        <w:rPr>
          <w:rFonts w:hint="eastAsia" w:ascii="仿宋" w:hAnsi="仿宋" w:eastAsia="仿宋"/>
          <w:sz w:val="32"/>
          <w:szCs w:val="32"/>
        </w:rPr>
        <w:t>。</w:t>
      </w:r>
    </w:p>
    <w:p>
      <w:pPr>
        <w:keepNext w:val="0"/>
        <w:keepLines w:val="0"/>
        <w:pageBreakBefore w:val="0"/>
        <w:widowControl w:val="0"/>
        <w:kinsoku/>
        <w:wordWrap/>
        <w:overflowPunct/>
        <w:topLinePunct w:val="0"/>
        <w:bidi w:val="0"/>
        <w:snapToGrid/>
        <w:spacing w:line="576" w:lineRule="exact"/>
        <w:ind w:left="0" w:leftChars="0" w:right="0" w:rightChars="0" w:firstLine="640" w:firstLineChars="200"/>
        <w:textAlignment w:val="auto"/>
        <w:outlineLvl w:val="9"/>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（二）一般公共预算当年拨款结构情况。</w:t>
      </w:r>
    </w:p>
    <w:p>
      <w:pPr>
        <w:keepNext w:val="0"/>
        <w:keepLines w:val="0"/>
        <w:pageBreakBefore w:val="0"/>
        <w:widowControl w:val="0"/>
        <w:kinsoku/>
        <w:wordWrap/>
        <w:overflowPunct/>
        <w:topLinePunct w:val="0"/>
        <w:bidi w:val="0"/>
        <w:snapToGrid/>
        <w:spacing w:line="576" w:lineRule="exact"/>
        <w:ind w:left="0" w:leftChars="0" w:right="0" w:rightChars="0" w:firstLine="640" w:firstLineChars="200"/>
        <w:textAlignment w:val="auto"/>
        <w:outlineLvl w:val="9"/>
        <w:rPr>
          <w:rFonts w:ascii="仿宋" w:hAnsi="仿宋" w:eastAsia="仿宋"/>
          <w:sz w:val="32"/>
          <w:szCs w:val="32"/>
        </w:rPr>
      </w:pPr>
      <w:r>
        <w:rPr>
          <w:rFonts w:hint="eastAsia" w:ascii="仿宋" w:hAnsi="仿宋" w:eastAsia="仿宋"/>
          <w:sz w:val="32"/>
          <w:szCs w:val="32"/>
          <w:lang w:val="en-US" w:eastAsia="zh-CN"/>
        </w:rPr>
        <w:t>2026年</w:t>
      </w:r>
      <w:r>
        <w:rPr>
          <w:rFonts w:hint="eastAsia" w:ascii="仿宋" w:hAnsi="仿宋" w:eastAsia="仿宋"/>
          <w:sz w:val="32"/>
          <w:szCs w:val="32"/>
        </w:rPr>
        <w:t>一般公共预算当年拨款</w:t>
      </w:r>
      <w:r>
        <w:rPr>
          <w:rFonts w:hint="eastAsia" w:ascii="仿宋" w:hAnsi="仿宋" w:eastAsia="仿宋"/>
          <w:sz w:val="32"/>
          <w:szCs w:val="32"/>
          <w:u w:val="none"/>
          <w:lang w:val="en-US" w:eastAsia="zh-CN"/>
        </w:rPr>
        <w:t>3928.88</w:t>
      </w:r>
      <w:r>
        <w:rPr>
          <w:rFonts w:hint="eastAsia" w:ascii="仿宋" w:hAnsi="仿宋" w:eastAsia="仿宋"/>
          <w:sz w:val="32"/>
          <w:szCs w:val="32"/>
        </w:rPr>
        <w:t>万元,主要</w:t>
      </w:r>
      <w:r>
        <w:rPr>
          <w:rFonts w:ascii="仿宋" w:hAnsi="仿宋" w:eastAsia="仿宋"/>
          <w:sz w:val="32"/>
          <w:szCs w:val="32"/>
        </w:rPr>
        <w:t>用于以下方面：</w:t>
      </w:r>
      <w:r>
        <w:rPr>
          <w:rFonts w:hint="eastAsia" w:ascii="仿宋" w:hAnsi="仿宋" w:eastAsia="仿宋"/>
          <w:sz w:val="32"/>
          <w:szCs w:val="32"/>
          <w:lang w:eastAsia="zh-CN"/>
        </w:rPr>
        <w:t>公共安全支出</w:t>
      </w:r>
      <w:r>
        <w:rPr>
          <w:rFonts w:hint="eastAsia" w:ascii="仿宋" w:hAnsi="仿宋" w:eastAsia="仿宋"/>
          <w:sz w:val="32"/>
          <w:szCs w:val="32"/>
          <w:lang w:val="en-US" w:eastAsia="zh-CN"/>
        </w:rPr>
        <w:t>3293.36万元，占83.82%、社会保障和就业支出392.85万元，占10.00%、卫生健康支出116.64万元，占2.97%、</w:t>
      </w:r>
      <w:r>
        <w:rPr>
          <w:rFonts w:hint="eastAsia" w:ascii="仿宋" w:hAnsi="仿宋" w:eastAsia="仿宋"/>
          <w:sz w:val="32"/>
          <w:szCs w:val="32"/>
        </w:rPr>
        <w:t>住房保障支出</w:t>
      </w:r>
      <w:r>
        <w:rPr>
          <w:rFonts w:hint="eastAsia" w:ascii="仿宋" w:hAnsi="仿宋" w:eastAsia="仿宋"/>
          <w:sz w:val="32"/>
          <w:szCs w:val="32"/>
          <w:lang w:val="en-US" w:eastAsia="zh-CN"/>
        </w:rPr>
        <w:t>126.04万元，占3.21%</w:t>
      </w:r>
      <w:r>
        <w:rPr>
          <w:rFonts w:hint="eastAsia" w:ascii="仿宋" w:hAnsi="仿宋" w:eastAsia="仿宋"/>
          <w:sz w:val="32"/>
          <w:szCs w:val="32"/>
        </w:rPr>
        <w:t>。</w:t>
      </w:r>
    </w:p>
    <w:p>
      <w:pPr>
        <w:keepNext w:val="0"/>
        <w:keepLines w:val="0"/>
        <w:pageBreakBefore w:val="0"/>
        <w:widowControl w:val="0"/>
        <w:kinsoku/>
        <w:wordWrap/>
        <w:overflowPunct/>
        <w:topLinePunct w:val="0"/>
        <w:bidi w:val="0"/>
        <w:snapToGrid/>
        <w:spacing w:line="576" w:lineRule="exact"/>
        <w:ind w:left="0" w:leftChars="0" w:right="0" w:rightChars="0" w:firstLine="640" w:firstLineChars="200"/>
        <w:textAlignment w:val="auto"/>
        <w:outlineLvl w:val="9"/>
        <w:rPr>
          <w:rFonts w:ascii="黑体" w:hAnsi="黑体" w:eastAsia="黑体"/>
          <w:sz w:val="32"/>
          <w:szCs w:val="32"/>
        </w:rPr>
      </w:pPr>
      <w:r>
        <w:rPr>
          <w:rFonts w:hint="eastAsia" w:ascii="黑体" w:hAnsi="黑体" w:eastAsia="黑体"/>
          <w:sz w:val="32"/>
          <w:szCs w:val="32"/>
        </w:rPr>
        <w:t>六、一般公共预算基本支出总体情况</w:t>
      </w:r>
    </w:p>
    <w:p>
      <w:pPr>
        <w:keepNext w:val="0"/>
        <w:keepLines w:val="0"/>
        <w:pageBreakBefore w:val="0"/>
        <w:widowControl w:val="0"/>
        <w:kinsoku/>
        <w:wordWrap/>
        <w:overflowPunct/>
        <w:topLinePunct w:val="0"/>
        <w:bidi w:val="0"/>
        <w:snapToGrid/>
        <w:spacing w:line="576" w:lineRule="exact"/>
        <w:ind w:left="0" w:leftChars="0" w:right="0" w:rightChars="0" w:firstLine="640" w:firstLineChars="200"/>
        <w:textAlignment w:val="auto"/>
        <w:outlineLvl w:val="9"/>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年一般公共预算基本支出</w:t>
      </w:r>
      <w:r>
        <w:rPr>
          <w:rFonts w:hint="eastAsia" w:ascii="仿宋" w:hAnsi="仿宋" w:eastAsia="仿宋"/>
          <w:sz w:val="32"/>
          <w:szCs w:val="32"/>
          <w:u w:val="none"/>
          <w:lang w:val="en-US" w:eastAsia="zh-CN"/>
        </w:rPr>
        <w:t>2099.50</w:t>
      </w:r>
      <w:r>
        <w:rPr>
          <w:rFonts w:hint="eastAsia" w:ascii="仿宋" w:hAnsi="仿宋" w:eastAsia="仿宋"/>
          <w:sz w:val="32"/>
          <w:szCs w:val="32"/>
        </w:rPr>
        <w:t>万元，其中：</w:t>
      </w:r>
    </w:p>
    <w:p>
      <w:pPr>
        <w:keepNext w:val="0"/>
        <w:keepLines w:val="0"/>
        <w:pageBreakBefore w:val="0"/>
        <w:widowControl w:val="0"/>
        <w:numPr>
          <w:ilvl w:val="0"/>
          <w:numId w:val="0"/>
        </w:numPr>
        <w:kinsoku/>
        <w:wordWrap/>
        <w:overflowPunct/>
        <w:topLinePunct w:val="0"/>
        <w:bidi w:val="0"/>
        <w:snapToGrid/>
        <w:spacing w:line="576" w:lineRule="exact"/>
        <w:ind w:left="0" w:leftChars="0" w:right="0" w:rightChars="0"/>
        <w:textAlignment w:val="auto"/>
        <w:outlineLvl w:val="9"/>
        <w:rPr>
          <w:rFonts w:hint="eastAsia" w:ascii="仿宋" w:hAnsi="仿宋" w:eastAsia="仿宋"/>
          <w:color w:val="auto"/>
          <w:sz w:val="32"/>
          <w:szCs w:val="32"/>
          <w:lang w:eastAsia="zh-CN"/>
        </w:rPr>
      </w:pPr>
      <w:r>
        <w:rPr>
          <w:rFonts w:hint="eastAsia" w:ascii="方正楷体简体" w:hAnsi="方正楷体简体" w:eastAsia="方正楷体简体" w:cs="方正楷体简体"/>
          <w:color w:val="auto"/>
          <w:sz w:val="32"/>
          <w:szCs w:val="32"/>
          <w:u w:val="none"/>
          <w:lang w:val="en-US" w:eastAsia="zh-CN"/>
        </w:rPr>
        <w:t xml:space="preserve">  （一）工资福利支出1717.47</w:t>
      </w:r>
      <w:r>
        <w:rPr>
          <w:rFonts w:hint="eastAsia" w:ascii="方正楷体简体" w:hAnsi="方正楷体简体" w:eastAsia="方正楷体简体" w:cs="方正楷体简体"/>
          <w:color w:val="auto"/>
          <w:sz w:val="32"/>
          <w:szCs w:val="32"/>
        </w:rPr>
        <w:t>万元</w:t>
      </w:r>
      <w:r>
        <w:rPr>
          <w:rFonts w:hint="eastAsia" w:ascii="方正楷体简体" w:hAnsi="方正楷体简体" w:eastAsia="方正楷体简体" w:cs="方正楷体简体"/>
          <w:color w:val="auto"/>
          <w:sz w:val="32"/>
          <w:szCs w:val="32"/>
          <w:lang w:eastAsia="zh-CN"/>
        </w:rPr>
        <w:t>。</w:t>
      </w:r>
      <w:r>
        <w:rPr>
          <w:rFonts w:hint="eastAsia" w:ascii="仿宋" w:hAnsi="仿宋" w:eastAsia="仿宋"/>
          <w:color w:val="auto"/>
          <w:sz w:val="32"/>
          <w:szCs w:val="32"/>
        </w:rPr>
        <w:t>主要包括：基本工资</w:t>
      </w:r>
      <w:r>
        <w:rPr>
          <w:rFonts w:hint="eastAsia" w:ascii="仿宋" w:hAnsi="仿宋" w:eastAsia="仿宋"/>
          <w:color w:val="auto"/>
          <w:sz w:val="32"/>
          <w:szCs w:val="32"/>
          <w:lang w:val="en-US" w:eastAsia="zh-CN"/>
        </w:rPr>
        <w:t>173.94万元</w:t>
      </w:r>
      <w:r>
        <w:rPr>
          <w:rFonts w:hint="eastAsia" w:ascii="仿宋" w:hAnsi="仿宋" w:eastAsia="仿宋"/>
          <w:color w:val="auto"/>
          <w:sz w:val="32"/>
          <w:szCs w:val="32"/>
        </w:rPr>
        <w:t>、津贴补贴</w:t>
      </w:r>
      <w:r>
        <w:rPr>
          <w:rFonts w:hint="eastAsia" w:ascii="仿宋" w:hAnsi="仿宋" w:eastAsia="仿宋"/>
          <w:color w:val="auto"/>
          <w:sz w:val="32"/>
          <w:szCs w:val="32"/>
          <w:lang w:val="en-US" w:eastAsia="zh-CN"/>
        </w:rPr>
        <w:t>922.53万元</w:t>
      </w:r>
      <w:r>
        <w:rPr>
          <w:rFonts w:hint="eastAsia" w:ascii="仿宋" w:hAnsi="仿宋" w:eastAsia="仿宋"/>
          <w:color w:val="auto"/>
          <w:sz w:val="32"/>
          <w:szCs w:val="32"/>
        </w:rPr>
        <w:t>、奖金</w:t>
      </w:r>
      <w:r>
        <w:rPr>
          <w:rFonts w:hint="eastAsia" w:ascii="仿宋" w:hAnsi="仿宋" w:eastAsia="仿宋"/>
          <w:color w:val="auto"/>
          <w:sz w:val="32"/>
          <w:szCs w:val="32"/>
          <w:lang w:val="en-US" w:eastAsia="zh-CN"/>
        </w:rPr>
        <w:t>78.87万元</w:t>
      </w:r>
      <w:r>
        <w:rPr>
          <w:rFonts w:hint="eastAsia" w:ascii="仿宋" w:hAnsi="仿宋" w:eastAsia="仿宋"/>
          <w:color w:val="auto"/>
          <w:sz w:val="32"/>
          <w:szCs w:val="32"/>
        </w:rPr>
        <w:t>、</w:t>
      </w:r>
      <w:r>
        <w:rPr>
          <w:rFonts w:hint="eastAsia" w:ascii="仿宋" w:hAnsi="仿宋" w:eastAsia="仿宋"/>
          <w:color w:val="auto"/>
          <w:sz w:val="32"/>
          <w:szCs w:val="32"/>
          <w:lang w:eastAsia="zh-CN"/>
        </w:rPr>
        <w:t>伙食补助费</w:t>
      </w:r>
      <w:r>
        <w:rPr>
          <w:rFonts w:hint="eastAsia" w:ascii="仿宋" w:hAnsi="仿宋" w:eastAsia="仿宋"/>
          <w:color w:val="auto"/>
          <w:sz w:val="32"/>
          <w:szCs w:val="32"/>
          <w:lang w:val="en-US" w:eastAsia="zh-CN"/>
        </w:rPr>
        <w:t>24.6万元、</w:t>
      </w:r>
      <w:r>
        <w:rPr>
          <w:rFonts w:ascii="仿宋" w:hAnsi="仿宋" w:eastAsia="仿宋"/>
          <w:color w:val="auto"/>
          <w:sz w:val="32"/>
          <w:szCs w:val="32"/>
        </w:rPr>
        <w:t>机关事业单位</w:t>
      </w:r>
      <w:r>
        <w:rPr>
          <w:rFonts w:hint="eastAsia" w:ascii="仿宋" w:hAnsi="仿宋" w:eastAsia="仿宋"/>
          <w:color w:val="auto"/>
          <w:sz w:val="32"/>
          <w:szCs w:val="32"/>
          <w:lang w:eastAsia="zh-CN"/>
        </w:rPr>
        <w:t>基本</w:t>
      </w:r>
      <w:r>
        <w:rPr>
          <w:rFonts w:ascii="仿宋" w:hAnsi="仿宋" w:eastAsia="仿宋"/>
          <w:color w:val="auto"/>
          <w:sz w:val="32"/>
          <w:szCs w:val="32"/>
        </w:rPr>
        <w:t>养老保险缴费</w:t>
      </w:r>
      <w:r>
        <w:rPr>
          <w:rFonts w:hint="eastAsia" w:ascii="仿宋" w:hAnsi="仿宋" w:eastAsia="仿宋"/>
          <w:color w:val="auto"/>
          <w:sz w:val="32"/>
          <w:szCs w:val="32"/>
          <w:lang w:val="en-US" w:eastAsia="zh-CN"/>
        </w:rPr>
        <w:t>163.39万元</w:t>
      </w:r>
      <w:r>
        <w:rPr>
          <w:rFonts w:hint="eastAsia" w:ascii="仿宋" w:hAnsi="仿宋" w:eastAsia="仿宋"/>
          <w:color w:val="auto"/>
          <w:sz w:val="32"/>
          <w:szCs w:val="32"/>
        </w:rPr>
        <w:t>、</w:t>
      </w:r>
      <w:r>
        <w:rPr>
          <w:rFonts w:ascii="仿宋" w:hAnsi="仿宋" w:eastAsia="仿宋"/>
          <w:color w:val="auto"/>
          <w:sz w:val="32"/>
          <w:szCs w:val="32"/>
        </w:rPr>
        <w:t>职工基本医疗保险缴费</w:t>
      </w:r>
      <w:r>
        <w:rPr>
          <w:rFonts w:hint="eastAsia" w:ascii="仿宋" w:hAnsi="仿宋" w:eastAsia="仿宋"/>
          <w:color w:val="auto"/>
          <w:sz w:val="32"/>
          <w:szCs w:val="32"/>
          <w:lang w:val="en-US" w:eastAsia="zh-CN"/>
        </w:rPr>
        <w:t>80.87万元</w:t>
      </w:r>
      <w:r>
        <w:rPr>
          <w:rFonts w:hint="eastAsia" w:ascii="仿宋" w:hAnsi="仿宋" w:eastAsia="仿宋"/>
          <w:color w:val="auto"/>
          <w:sz w:val="32"/>
          <w:szCs w:val="32"/>
        </w:rPr>
        <w:t>、</w:t>
      </w:r>
      <w:r>
        <w:rPr>
          <w:rFonts w:ascii="仿宋" w:hAnsi="仿宋" w:eastAsia="仿宋"/>
          <w:color w:val="auto"/>
          <w:sz w:val="32"/>
          <w:szCs w:val="32"/>
        </w:rPr>
        <w:t>公务员医疗补助</w:t>
      </w:r>
      <w:r>
        <w:rPr>
          <w:rFonts w:hint="eastAsia" w:ascii="仿宋" w:hAnsi="仿宋" w:eastAsia="仿宋"/>
          <w:color w:val="auto"/>
          <w:sz w:val="32"/>
          <w:szCs w:val="32"/>
          <w:lang w:eastAsia="zh-CN"/>
        </w:rPr>
        <w:t>缴费</w:t>
      </w:r>
      <w:r>
        <w:rPr>
          <w:rFonts w:hint="eastAsia" w:ascii="仿宋" w:hAnsi="仿宋" w:eastAsia="仿宋"/>
          <w:color w:val="auto"/>
          <w:sz w:val="32"/>
          <w:szCs w:val="32"/>
          <w:lang w:val="en-US" w:eastAsia="zh-CN"/>
        </w:rPr>
        <w:t>21.01万元</w:t>
      </w:r>
      <w:r>
        <w:rPr>
          <w:rFonts w:hint="eastAsia" w:ascii="仿宋" w:hAnsi="仿宋" w:eastAsia="仿宋"/>
          <w:color w:val="auto"/>
          <w:sz w:val="32"/>
          <w:szCs w:val="32"/>
        </w:rPr>
        <w:t>、</w:t>
      </w:r>
      <w:r>
        <w:rPr>
          <w:rFonts w:ascii="仿宋" w:hAnsi="仿宋" w:eastAsia="仿宋"/>
          <w:color w:val="auto"/>
          <w:sz w:val="32"/>
          <w:szCs w:val="32"/>
        </w:rPr>
        <w:t>其他社会保险缴费</w:t>
      </w:r>
      <w:r>
        <w:rPr>
          <w:rFonts w:hint="eastAsia" w:ascii="仿宋" w:hAnsi="仿宋" w:eastAsia="仿宋"/>
          <w:color w:val="auto"/>
          <w:sz w:val="32"/>
          <w:szCs w:val="32"/>
          <w:lang w:val="en-US" w:eastAsia="zh-CN"/>
        </w:rPr>
        <w:t>1.05万元、住房公积金126.04万元、医疗费14.76万元、</w:t>
      </w:r>
      <w:r>
        <w:rPr>
          <w:rFonts w:ascii="仿宋" w:hAnsi="仿宋" w:eastAsia="仿宋"/>
          <w:color w:val="auto"/>
          <w:sz w:val="32"/>
          <w:szCs w:val="32"/>
        </w:rPr>
        <w:t>其他工资福利支出</w:t>
      </w:r>
      <w:r>
        <w:rPr>
          <w:rFonts w:hint="eastAsia" w:ascii="仿宋" w:hAnsi="仿宋" w:eastAsia="仿宋"/>
          <w:color w:val="auto"/>
          <w:sz w:val="32"/>
          <w:szCs w:val="32"/>
          <w:lang w:val="en-US" w:eastAsia="zh-CN"/>
        </w:rPr>
        <w:t>110.41万元。</w:t>
      </w:r>
    </w:p>
    <w:p>
      <w:pPr>
        <w:keepNext w:val="0"/>
        <w:keepLines w:val="0"/>
        <w:pageBreakBefore w:val="0"/>
        <w:widowControl w:val="0"/>
        <w:kinsoku/>
        <w:wordWrap/>
        <w:overflowPunct/>
        <w:topLinePunct w:val="0"/>
        <w:bidi w:val="0"/>
        <w:snapToGrid/>
        <w:spacing w:line="576" w:lineRule="exact"/>
        <w:ind w:left="0" w:leftChars="0" w:right="0" w:rightChars="0" w:firstLine="640" w:firstLineChars="200"/>
        <w:textAlignment w:val="auto"/>
        <w:outlineLvl w:val="9"/>
        <w:rPr>
          <w:rFonts w:hint="eastAsia" w:ascii="仿宋" w:hAnsi="仿宋" w:eastAsia="仿宋"/>
          <w:color w:val="auto"/>
          <w:sz w:val="32"/>
          <w:szCs w:val="32"/>
          <w:lang w:val="en-US" w:eastAsia="zh-CN"/>
        </w:rPr>
      </w:pPr>
      <w:r>
        <w:rPr>
          <w:rFonts w:hint="eastAsia" w:ascii="方正楷体简体" w:hAnsi="方正楷体简体" w:eastAsia="方正楷体简体" w:cs="方正楷体简体"/>
          <w:color w:val="auto"/>
          <w:sz w:val="32"/>
          <w:szCs w:val="32"/>
          <w:lang w:eastAsia="zh-CN"/>
        </w:rPr>
        <w:t>（二）商品和服务支</w:t>
      </w:r>
      <w:r>
        <w:rPr>
          <w:rFonts w:hint="eastAsia" w:ascii="方正楷体简体" w:hAnsi="方正楷体简体" w:eastAsia="方正楷体简体" w:cs="方正楷体简体"/>
          <w:color w:val="auto"/>
          <w:sz w:val="32"/>
          <w:szCs w:val="32"/>
          <w:u w:val="none"/>
          <w:lang w:eastAsia="zh-CN"/>
        </w:rPr>
        <w:t>出</w:t>
      </w:r>
      <w:r>
        <w:rPr>
          <w:rFonts w:hint="eastAsia" w:ascii="方正楷体简体" w:hAnsi="方正楷体简体" w:eastAsia="方正楷体简体" w:cs="方正楷体简体"/>
          <w:color w:val="auto"/>
          <w:sz w:val="32"/>
          <w:szCs w:val="32"/>
          <w:u w:val="none"/>
          <w:lang w:val="en-US" w:eastAsia="zh-CN"/>
        </w:rPr>
        <w:t>152.57万元</w:t>
      </w:r>
      <w:r>
        <w:rPr>
          <w:rFonts w:hint="eastAsia" w:ascii="方正楷体简体" w:hAnsi="方正楷体简体" w:eastAsia="方正楷体简体" w:cs="方正楷体简体"/>
          <w:color w:val="auto"/>
          <w:sz w:val="32"/>
          <w:szCs w:val="32"/>
          <w:u w:val="none"/>
        </w:rPr>
        <w:t>万</w:t>
      </w:r>
      <w:r>
        <w:rPr>
          <w:rFonts w:hint="eastAsia" w:ascii="方正楷体简体" w:hAnsi="方正楷体简体" w:eastAsia="方正楷体简体" w:cs="方正楷体简体"/>
          <w:color w:val="auto"/>
          <w:sz w:val="32"/>
          <w:szCs w:val="32"/>
        </w:rPr>
        <w:t>元</w:t>
      </w:r>
      <w:r>
        <w:rPr>
          <w:rFonts w:hint="eastAsia" w:ascii="方正楷体简体" w:hAnsi="方正楷体简体" w:eastAsia="方正楷体简体" w:cs="方正楷体简体"/>
          <w:color w:val="auto"/>
          <w:sz w:val="32"/>
          <w:szCs w:val="32"/>
          <w:lang w:eastAsia="zh-CN"/>
        </w:rPr>
        <w:t>。</w:t>
      </w:r>
      <w:r>
        <w:rPr>
          <w:rFonts w:hint="eastAsia" w:ascii="仿宋" w:hAnsi="仿宋" w:eastAsia="仿宋"/>
          <w:color w:val="auto"/>
          <w:sz w:val="32"/>
          <w:szCs w:val="32"/>
        </w:rPr>
        <w:t>主要包括：</w:t>
      </w:r>
      <w:r>
        <w:rPr>
          <w:rFonts w:ascii="仿宋" w:hAnsi="仿宋" w:eastAsia="仿宋"/>
          <w:color w:val="auto"/>
          <w:sz w:val="32"/>
          <w:szCs w:val="32"/>
        </w:rPr>
        <w:t>办公费</w:t>
      </w:r>
      <w:r>
        <w:rPr>
          <w:rFonts w:hint="eastAsia" w:ascii="仿宋" w:hAnsi="仿宋" w:eastAsia="仿宋"/>
          <w:color w:val="auto"/>
          <w:sz w:val="32"/>
          <w:szCs w:val="32"/>
          <w:lang w:val="en-US" w:eastAsia="zh-CN"/>
        </w:rPr>
        <w:t>4.05万元</w:t>
      </w:r>
      <w:r>
        <w:rPr>
          <w:rFonts w:hint="eastAsia" w:ascii="仿宋" w:hAnsi="仿宋" w:eastAsia="仿宋"/>
          <w:color w:val="auto"/>
          <w:sz w:val="32"/>
          <w:szCs w:val="32"/>
        </w:rPr>
        <w:t>、</w:t>
      </w:r>
      <w:r>
        <w:rPr>
          <w:rFonts w:ascii="仿宋" w:hAnsi="仿宋" w:eastAsia="仿宋"/>
          <w:color w:val="auto"/>
          <w:sz w:val="32"/>
          <w:szCs w:val="32"/>
        </w:rPr>
        <w:t>水费</w:t>
      </w:r>
      <w:r>
        <w:rPr>
          <w:rFonts w:hint="eastAsia" w:ascii="仿宋" w:hAnsi="仿宋" w:eastAsia="仿宋"/>
          <w:color w:val="auto"/>
          <w:sz w:val="32"/>
          <w:szCs w:val="32"/>
          <w:lang w:val="en-US" w:eastAsia="zh-CN"/>
        </w:rPr>
        <w:t>7万元</w:t>
      </w:r>
      <w:r>
        <w:rPr>
          <w:rFonts w:hint="eastAsia" w:ascii="仿宋" w:hAnsi="仿宋" w:eastAsia="仿宋"/>
          <w:color w:val="auto"/>
          <w:sz w:val="32"/>
          <w:szCs w:val="32"/>
        </w:rPr>
        <w:t>、</w:t>
      </w:r>
      <w:r>
        <w:rPr>
          <w:rFonts w:ascii="仿宋" w:hAnsi="仿宋" w:eastAsia="仿宋"/>
          <w:color w:val="auto"/>
          <w:sz w:val="32"/>
          <w:szCs w:val="32"/>
        </w:rPr>
        <w:t>电费</w:t>
      </w:r>
      <w:r>
        <w:rPr>
          <w:rFonts w:hint="eastAsia" w:ascii="仿宋" w:hAnsi="仿宋" w:eastAsia="仿宋"/>
          <w:color w:val="auto"/>
          <w:sz w:val="32"/>
          <w:szCs w:val="32"/>
          <w:lang w:val="en-US" w:eastAsia="zh-CN"/>
        </w:rPr>
        <w:t>25.99万元</w:t>
      </w:r>
      <w:r>
        <w:rPr>
          <w:rFonts w:hint="eastAsia" w:ascii="仿宋" w:hAnsi="仿宋" w:eastAsia="仿宋"/>
          <w:color w:val="auto"/>
          <w:sz w:val="32"/>
          <w:szCs w:val="32"/>
        </w:rPr>
        <w:t>、</w:t>
      </w:r>
      <w:r>
        <w:rPr>
          <w:rFonts w:ascii="仿宋" w:hAnsi="仿宋" w:eastAsia="仿宋"/>
          <w:color w:val="auto"/>
          <w:sz w:val="32"/>
          <w:szCs w:val="32"/>
        </w:rPr>
        <w:t>取暖费</w:t>
      </w:r>
      <w:r>
        <w:rPr>
          <w:rFonts w:hint="eastAsia" w:ascii="仿宋" w:hAnsi="仿宋" w:eastAsia="仿宋"/>
          <w:color w:val="auto"/>
          <w:sz w:val="32"/>
          <w:szCs w:val="32"/>
          <w:lang w:val="en-US" w:eastAsia="zh-CN"/>
        </w:rPr>
        <w:t>21万元</w:t>
      </w:r>
      <w:r>
        <w:rPr>
          <w:rFonts w:hint="eastAsia" w:ascii="仿宋" w:hAnsi="仿宋" w:eastAsia="仿宋"/>
          <w:color w:val="auto"/>
          <w:sz w:val="32"/>
          <w:szCs w:val="32"/>
        </w:rPr>
        <w:t>、</w:t>
      </w:r>
      <w:r>
        <w:rPr>
          <w:rFonts w:hint="eastAsia" w:ascii="仿宋" w:hAnsi="仿宋" w:eastAsia="仿宋"/>
          <w:color w:val="auto"/>
          <w:sz w:val="32"/>
          <w:szCs w:val="32"/>
          <w:lang w:val="en-US" w:eastAsia="zh-CN"/>
        </w:rPr>
        <w:t>物业管理费29.93万元、</w:t>
      </w:r>
      <w:r>
        <w:rPr>
          <w:rFonts w:ascii="仿宋" w:hAnsi="仿宋" w:eastAsia="仿宋"/>
          <w:color w:val="auto"/>
          <w:sz w:val="32"/>
          <w:szCs w:val="32"/>
        </w:rPr>
        <w:t>委托业务费</w:t>
      </w:r>
      <w:r>
        <w:rPr>
          <w:rFonts w:hint="eastAsia" w:ascii="仿宋" w:hAnsi="仿宋" w:eastAsia="仿宋"/>
          <w:color w:val="auto"/>
          <w:sz w:val="32"/>
          <w:szCs w:val="32"/>
          <w:lang w:val="en-US" w:eastAsia="zh-CN"/>
        </w:rPr>
        <w:t>1万元</w:t>
      </w:r>
      <w:r>
        <w:rPr>
          <w:rFonts w:hint="eastAsia" w:ascii="仿宋" w:hAnsi="仿宋" w:eastAsia="仿宋"/>
          <w:color w:val="auto"/>
          <w:sz w:val="32"/>
          <w:szCs w:val="32"/>
        </w:rPr>
        <w:t>、</w:t>
      </w:r>
      <w:r>
        <w:rPr>
          <w:rFonts w:hint="eastAsia" w:ascii="仿宋" w:hAnsi="仿宋" w:eastAsia="仿宋"/>
          <w:color w:val="auto"/>
          <w:sz w:val="32"/>
          <w:szCs w:val="32"/>
          <w:lang w:eastAsia="zh-CN"/>
        </w:rPr>
        <w:t>工会经费</w:t>
      </w:r>
      <w:r>
        <w:rPr>
          <w:rFonts w:hint="eastAsia" w:ascii="仿宋" w:hAnsi="仿宋" w:eastAsia="仿宋"/>
          <w:color w:val="auto"/>
          <w:sz w:val="32"/>
          <w:szCs w:val="32"/>
          <w:lang w:val="en-US" w:eastAsia="zh-CN"/>
        </w:rPr>
        <w:t>34.25万元、其他商品和服务支出29.35万元。</w:t>
      </w:r>
    </w:p>
    <w:p>
      <w:pPr>
        <w:keepNext w:val="0"/>
        <w:keepLines w:val="0"/>
        <w:pageBreakBefore w:val="0"/>
        <w:widowControl w:val="0"/>
        <w:kinsoku/>
        <w:wordWrap/>
        <w:overflowPunct/>
        <w:topLinePunct w:val="0"/>
        <w:bidi w:val="0"/>
        <w:snapToGrid/>
        <w:spacing w:line="576" w:lineRule="exact"/>
        <w:ind w:left="0" w:leftChars="0" w:right="0" w:rightChars="0" w:firstLine="640" w:firstLineChars="200"/>
        <w:textAlignment w:val="auto"/>
        <w:outlineLvl w:val="9"/>
        <w:rPr>
          <w:rFonts w:hint="eastAsia" w:ascii="仿宋" w:hAnsi="仿宋" w:eastAsia="仿宋"/>
          <w:color w:val="auto"/>
          <w:sz w:val="32"/>
          <w:szCs w:val="32"/>
          <w:lang w:eastAsia="zh-CN"/>
        </w:rPr>
      </w:pPr>
      <w:r>
        <w:rPr>
          <w:rFonts w:hint="eastAsia" w:ascii="方正楷体简体" w:hAnsi="方正楷体简体" w:eastAsia="方正楷体简体" w:cs="方正楷体简体"/>
          <w:color w:val="auto"/>
          <w:sz w:val="32"/>
          <w:szCs w:val="32"/>
          <w:lang w:eastAsia="zh-CN"/>
        </w:rPr>
        <w:t>（三）对个人和家庭补助支出</w:t>
      </w:r>
      <w:r>
        <w:rPr>
          <w:rFonts w:hint="eastAsia" w:ascii="方正楷体简体" w:hAnsi="方正楷体简体" w:eastAsia="方正楷体简体" w:cs="方正楷体简体"/>
          <w:color w:val="auto"/>
          <w:sz w:val="32"/>
          <w:szCs w:val="32"/>
          <w:lang w:val="en-US" w:eastAsia="zh-CN"/>
        </w:rPr>
        <w:t>229.46万元。</w:t>
      </w:r>
      <w:r>
        <w:rPr>
          <w:rFonts w:hint="eastAsia" w:ascii="仿宋" w:hAnsi="仿宋" w:eastAsia="仿宋"/>
          <w:color w:val="auto"/>
          <w:sz w:val="32"/>
          <w:szCs w:val="32"/>
          <w:lang w:val="en-US" w:eastAsia="zh-CN"/>
        </w:rPr>
        <w:t>主要包括：退休费1.50万元、生活补助226.46万元、医疗补助1.50万元。</w:t>
      </w:r>
    </w:p>
    <w:p>
      <w:pPr>
        <w:keepNext w:val="0"/>
        <w:keepLines w:val="0"/>
        <w:pageBreakBefore w:val="0"/>
        <w:widowControl w:val="0"/>
        <w:kinsoku/>
        <w:wordWrap/>
        <w:overflowPunct/>
        <w:topLinePunct w:val="0"/>
        <w:bidi w:val="0"/>
        <w:snapToGrid/>
        <w:spacing w:line="576" w:lineRule="exact"/>
        <w:ind w:left="0" w:leftChars="0" w:right="0" w:rightChars="0" w:firstLine="640" w:firstLineChars="200"/>
        <w:textAlignment w:val="auto"/>
        <w:outlineLvl w:val="9"/>
        <w:rPr>
          <w:rFonts w:ascii="黑体" w:hAnsi="黑体" w:eastAsia="黑体"/>
          <w:sz w:val="32"/>
          <w:szCs w:val="32"/>
        </w:rPr>
      </w:pPr>
      <w:r>
        <w:rPr>
          <w:rFonts w:hint="eastAsia" w:ascii="黑体" w:hAnsi="黑体" w:eastAsia="黑体"/>
          <w:sz w:val="32"/>
          <w:szCs w:val="32"/>
        </w:rPr>
        <w:t>七、一般公共预算“三公”经费预算总体情况</w:t>
      </w:r>
    </w:p>
    <w:p>
      <w:pPr>
        <w:keepNext w:val="0"/>
        <w:keepLines w:val="0"/>
        <w:pageBreakBefore w:val="0"/>
        <w:widowControl w:val="0"/>
        <w:kinsoku/>
        <w:wordWrap/>
        <w:overflowPunct/>
        <w:topLinePunct w:val="0"/>
        <w:bidi w:val="0"/>
        <w:snapToGrid/>
        <w:spacing w:line="576" w:lineRule="exact"/>
        <w:ind w:left="0" w:leftChars="0" w:right="0" w:rightChars="0" w:firstLine="640" w:firstLineChars="200"/>
        <w:textAlignment w:val="auto"/>
        <w:outlineLvl w:val="9"/>
        <w:rPr>
          <w:rFonts w:hint="eastAsia" w:ascii="仿宋" w:hAnsi="仿宋" w:eastAsia="仿宋"/>
          <w:sz w:val="32"/>
          <w:szCs w:val="32"/>
          <w:u w:val="none"/>
        </w:rPr>
      </w:pPr>
      <w:r>
        <w:rPr>
          <w:rFonts w:hint="eastAsia" w:ascii="仿宋" w:hAnsi="仿宋" w:eastAsia="仿宋"/>
          <w:sz w:val="32"/>
          <w:szCs w:val="32"/>
          <w:u w:val="none"/>
        </w:rPr>
        <w:t>202</w:t>
      </w:r>
      <w:r>
        <w:rPr>
          <w:rFonts w:hint="eastAsia" w:ascii="仿宋" w:hAnsi="仿宋" w:eastAsia="仿宋"/>
          <w:sz w:val="32"/>
          <w:szCs w:val="32"/>
          <w:u w:val="none"/>
          <w:lang w:val="en-US" w:eastAsia="zh-CN"/>
        </w:rPr>
        <w:t>6</w:t>
      </w:r>
      <w:r>
        <w:rPr>
          <w:rFonts w:hint="eastAsia" w:ascii="仿宋" w:hAnsi="仿宋" w:eastAsia="仿宋"/>
          <w:sz w:val="32"/>
          <w:szCs w:val="32"/>
          <w:u w:val="none"/>
        </w:rPr>
        <w:t>年“三公”经费预算数为</w:t>
      </w:r>
      <w:r>
        <w:rPr>
          <w:rFonts w:hint="eastAsia" w:ascii="仿宋" w:hAnsi="仿宋" w:eastAsia="仿宋"/>
          <w:sz w:val="32"/>
          <w:szCs w:val="32"/>
          <w:u w:val="none"/>
          <w:lang w:val="en-US" w:eastAsia="zh-CN"/>
        </w:rPr>
        <w:t>18.25</w:t>
      </w:r>
      <w:r>
        <w:rPr>
          <w:rFonts w:hint="eastAsia" w:ascii="仿宋" w:hAnsi="仿宋" w:eastAsia="仿宋"/>
          <w:sz w:val="32"/>
          <w:szCs w:val="32"/>
          <w:u w:val="none"/>
        </w:rPr>
        <w:t>万元，其中：因公出国（境）费</w:t>
      </w:r>
      <w:r>
        <w:rPr>
          <w:rFonts w:hint="eastAsia" w:ascii="仿宋" w:hAnsi="仿宋" w:eastAsia="仿宋"/>
          <w:sz w:val="32"/>
          <w:szCs w:val="32"/>
          <w:u w:val="none"/>
          <w:lang w:val="en-US" w:eastAsia="zh-CN"/>
        </w:rPr>
        <w:t>无</w:t>
      </w:r>
      <w:r>
        <w:rPr>
          <w:rFonts w:hint="eastAsia" w:ascii="仿宋" w:hAnsi="仿宋" w:eastAsia="仿宋"/>
          <w:sz w:val="32"/>
          <w:szCs w:val="32"/>
          <w:u w:val="none"/>
        </w:rPr>
        <w:t>，公务用车购置</w:t>
      </w:r>
      <w:r>
        <w:rPr>
          <w:rFonts w:hint="eastAsia" w:ascii="仿宋" w:hAnsi="仿宋" w:eastAsia="仿宋"/>
          <w:sz w:val="32"/>
          <w:szCs w:val="32"/>
          <w:u w:val="none"/>
          <w:lang w:val="en-US" w:eastAsia="zh-CN"/>
        </w:rPr>
        <w:t>无</w:t>
      </w:r>
      <w:r>
        <w:rPr>
          <w:rFonts w:ascii="仿宋" w:hAnsi="仿宋" w:eastAsia="仿宋"/>
          <w:sz w:val="32"/>
          <w:szCs w:val="32"/>
          <w:u w:val="none"/>
        </w:rPr>
        <w:t>，公车</w:t>
      </w:r>
      <w:r>
        <w:rPr>
          <w:rFonts w:hint="eastAsia" w:ascii="仿宋" w:hAnsi="仿宋" w:eastAsia="仿宋"/>
          <w:sz w:val="32"/>
          <w:szCs w:val="32"/>
          <w:u w:val="none"/>
        </w:rPr>
        <w:t>运行</w:t>
      </w:r>
      <w:r>
        <w:rPr>
          <w:rFonts w:hint="eastAsia" w:ascii="仿宋" w:hAnsi="仿宋" w:eastAsia="仿宋"/>
          <w:sz w:val="32"/>
          <w:szCs w:val="32"/>
          <w:u w:val="none"/>
          <w:lang w:val="en-US" w:eastAsia="zh-CN"/>
        </w:rPr>
        <w:t>维护</w:t>
      </w:r>
      <w:r>
        <w:rPr>
          <w:rFonts w:hint="eastAsia" w:ascii="仿宋" w:hAnsi="仿宋" w:eastAsia="仿宋"/>
          <w:sz w:val="32"/>
          <w:szCs w:val="32"/>
          <w:u w:val="none"/>
        </w:rPr>
        <w:t>费</w:t>
      </w:r>
      <w:r>
        <w:rPr>
          <w:rFonts w:hint="eastAsia" w:ascii="仿宋" w:hAnsi="仿宋" w:eastAsia="仿宋"/>
          <w:sz w:val="32"/>
          <w:szCs w:val="32"/>
          <w:u w:val="none"/>
          <w:lang w:val="en-US" w:eastAsia="zh-CN"/>
        </w:rPr>
        <w:t>18.25</w:t>
      </w:r>
      <w:r>
        <w:rPr>
          <w:rFonts w:hint="eastAsia" w:ascii="仿宋" w:hAnsi="仿宋" w:eastAsia="仿宋"/>
          <w:sz w:val="32"/>
          <w:szCs w:val="32"/>
          <w:u w:val="none"/>
        </w:rPr>
        <w:t>万元，公务接待费</w:t>
      </w:r>
      <w:r>
        <w:rPr>
          <w:rFonts w:hint="eastAsia" w:ascii="仿宋" w:hAnsi="仿宋" w:eastAsia="仿宋"/>
          <w:sz w:val="32"/>
          <w:szCs w:val="32"/>
          <w:u w:val="none"/>
          <w:lang w:val="en-US" w:eastAsia="zh-CN"/>
        </w:rPr>
        <w:t>无</w:t>
      </w:r>
      <w:r>
        <w:rPr>
          <w:rFonts w:hint="eastAsia" w:ascii="仿宋" w:hAnsi="仿宋" w:eastAsia="仿宋"/>
          <w:sz w:val="32"/>
          <w:szCs w:val="32"/>
          <w:u w:val="none"/>
        </w:rPr>
        <w:t>。“三公”经费预算比202</w:t>
      </w:r>
      <w:r>
        <w:rPr>
          <w:rFonts w:hint="eastAsia" w:ascii="仿宋" w:hAnsi="仿宋" w:eastAsia="仿宋"/>
          <w:sz w:val="32"/>
          <w:szCs w:val="32"/>
          <w:u w:val="none"/>
          <w:lang w:val="en-US" w:eastAsia="zh-CN"/>
        </w:rPr>
        <w:t>5</w:t>
      </w:r>
      <w:r>
        <w:rPr>
          <w:rFonts w:hint="eastAsia" w:ascii="仿宋" w:hAnsi="仿宋" w:eastAsia="仿宋"/>
          <w:sz w:val="32"/>
          <w:szCs w:val="32"/>
          <w:u w:val="none"/>
          <w:lang w:eastAsia="zh-CN"/>
        </w:rPr>
        <w:t>年</w:t>
      </w:r>
      <w:r>
        <w:rPr>
          <w:rFonts w:hint="eastAsia" w:ascii="仿宋" w:hAnsi="仿宋" w:eastAsia="仿宋"/>
          <w:sz w:val="32"/>
          <w:szCs w:val="32"/>
          <w:u w:val="none"/>
          <w:lang w:val="en-US" w:eastAsia="zh-CN"/>
        </w:rPr>
        <w:t>减少23.75</w:t>
      </w:r>
      <w:r>
        <w:rPr>
          <w:rFonts w:hint="eastAsia" w:ascii="仿宋" w:hAnsi="仿宋" w:eastAsia="仿宋"/>
          <w:sz w:val="32"/>
          <w:szCs w:val="32"/>
          <w:u w:val="none"/>
        </w:rPr>
        <w:t>万元，</w:t>
      </w:r>
      <w:r>
        <w:rPr>
          <w:rFonts w:hint="eastAsia" w:ascii="仿宋" w:hAnsi="仿宋" w:eastAsia="仿宋"/>
          <w:sz w:val="32"/>
          <w:szCs w:val="32"/>
          <w:u w:val="none"/>
          <w:lang w:val="en-US" w:eastAsia="zh-CN"/>
        </w:rPr>
        <w:t>减少56.55</w:t>
      </w:r>
      <w:r>
        <w:rPr>
          <w:rFonts w:hint="eastAsia" w:ascii="仿宋" w:hAnsi="仿宋" w:eastAsia="仿宋"/>
          <w:sz w:val="32"/>
          <w:szCs w:val="32"/>
          <w:u w:val="none"/>
        </w:rPr>
        <w:t>%，</w:t>
      </w:r>
      <w:r>
        <w:rPr>
          <w:rFonts w:hint="eastAsia" w:ascii="仿宋" w:hAnsi="仿宋" w:eastAsia="仿宋"/>
          <w:sz w:val="32"/>
          <w:szCs w:val="32"/>
          <w:u w:val="none"/>
          <w:lang w:val="en-US" w:eastAsia="zh-CN"/>
        </w:rPr>
        <w:t>减少</w:t>
      </w:r>
      <w:r>
        <w:rPr>
          <w:rFonts w:hint="eastAsia" w:ascii="仿宋" w:hAnsi="仿宋" w:eastAsia="仿宋"/>
          <w:sz w:val="32"/>
          <w:szCs w:val="32"/>
          <w:u w:val="none"/>
        </w:rPr>
        <w:t>主要原因</w:t>
      </w:r>
      <w:r>
        <w:rPr>
          <w:rFonts w:hint="eastAsia" w:ascii="仿宋" w:hAnsi="仿宋" w:eastAsia="仿宋"/>
          <w:sz w:val="32"/>
          <w:szCs w:val="32"/>
          <w:u w:val="none"/>
          <w:lang w:val="en-US" w:eastAsia="zh-CN"/>
        </w:rPr>
        <w:t>为：人员减少</w:t>
      </w:r>
      <w:r>
        <w:rPr>
          <w:rFonts w:hint="eastAsia" w:ascii="仿宋" w:hAnsi="仿宋" w:eastAsia="仿宋"/>
          <w:sz w:val="32"/>
          <w:szCs w:val="32"/>
          <w:u w:val="none"/>
          <w:lang w:eastAsia="zh-CN"/>
        </w:rPr>
        <w:t>。</w:t>
      </w:r>
    </w:p>
    <w:p>
      <w:pPr>
        <w:keepNext w:val="0"/>
        <w:keepLines w:val="0"/>
        <w:pageBreakBefore w:val="0"/>
        <w:widowControl w:val="0"/>
        <w:numPr>
          <w:ilvl w:val="0"/>
          <w:numId w:val="0"/>
        </w:numPr>
        <w:kinsoku/>
        <w:wordWrap/>
        <w:overflowPunct/>
        <w:topLinePunct w:val="0"/>
        <w:bidi w:val="0"/>
        <w:snapToGrid/>
        <w:spacing w:line="576" w:lineRule="exact"/>
        <w:ind w:leftChars="200" w:right="0" w:rightChars="0"/>
        <w:textAlignment w:val="auto"/>
        <w:outlineLvl w:val="9"/>
        <w:rPr>
          <w:rFonts w:hint="eastAsia" w:ascii="方正楷体简体" w:hAnsi="方正楷体简体" w:eastAsia="方正楷体简体" w:cs="方正楷体简体"/>
          <w:sz w:val="32"/>
          <w:szCs w:val="32"/>
          <w:u w:val="none"/>
          <w:lang w:val="en-US" w:eastAsia="zh-CN"/>
        </w:rPr>
      </w:pPr>
      <w:r>
        <w:rPr>
          <w:rFonts w:hint="eastAsia" w:ascii="方正楷体简体" w:hAnsi="方正楷体简体" w:eastAsia="方正楷体简体" w:cs="方正楷体简体"/>
          <w:sz w:val="32"/>
          <w:szCs w:val="32"/>
          <w:u w:val="none"/>
          <w:lang w:val="en-US" w:eastAsia="zh-CN"/>
        </w:rPr>
        <w:t xml:space="preserve"> （一）因公出国（境）经费预算情况</w:t>
      </w:r>
    </w:p>
    <w:p>
      <w:pPr>
        <w:keepNext w:val="0"/>
        <w:keepLines w:val="0"/>
        <w:pageBreakBefore w:val="0"/>
        <w:widowControl w:val="0"/>
        <w:kinsoku/>
        <w:wordWrap/>
        <w:overflowPunct/>
        <w:topLinePunct w:val="0"/>
        <w:bidi w:val="0"/>
        <w:snapToGrid/>
        <w:spacing w:line="576" w:lineRule="exact"/>
        <w:ind w:left="0" w:leftChars="0" w:right="0" w:rightChars="0"/>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eastAsia="zh-CN"/>
        </w:rPr>
        <w:t>无因公出国（境）人员，未产生相关费用，与</w:t>
      </w:r>
      <w:r>
        <w:rPr>
          <w:rFonts w:hint="eastAsia" w:ascii="仿宋" w:hAnsi="仿宋" w:eastAsia="仿宋"/>
          <w:sz w:val="32"/>
          <w:szCs w:val="32"/>
          <w:lang w:val="en-US" w:eastAsia="zh-CN"/>
        </w:rPr>
        <w:t>2025年持平。</w:t>
      </w:r>
    </w:p>
    <w:p>
      <w:pPr>
        <w:keepNext w:val="0"/>
        <w:keepLines w:val="0"/>
        <w:pageBreakBefore w:val="0"/>
        <w:widowControl w:val="0"/>
        <w:numPr>
          <w:ilvl w:val="0"/>
          <w:numId w:val="0"/>
        </w:numPr>
        <w:kinsoku/>
        <w:wordWrap/>
        <w:overflowPunct/>
        <w:topLinePunct w:val="0"/>
        <w:bidi w:val="0"/>
        <w:snapToGrid/>
        <w:spacing w:line="576" w:lineRule="exact"/>
        <w:ind w:left="0" w:leftChars="0" w:right="0" w:rightChars="0"/>
        <w:textAlignment w:val="auto"/>
        <w:outlineLvl w:val="9"/>
        <w:rPr>
          <w:rFonts w:hint="eastAsia" w:ascii="仿宋" w:hAnsi="仿宋" w:eastAsia="仿宋"/>
          <w:sz w:val="32"/>
          <w:szCs w:val="32"/>
          <w:u w:val="none"/>
          <w:lang w:val="en-US" w:eastAsia="zh-CN"/>
        </w:rPr>
      </w:pPr>
      <w:r>
        <w:rPr>
          <w:rFonts w:hint="eastAsia" w:ascii="仿宋" w:hAnsi="仿宋" w:eastAsia="仿宋"/>
          <w:sz w:val="32"/>
          <w:szCs w:val="32"/>
          <w:u w:val="none"/>
          <w:lang w:val="en-US" w:eastAsia="zh-CN"/>
        </w:rPr>
        <w:t xml:space="preserve">    </w:t>
      </w:r>
      <w:r>
        <w:rPr>
          <w:rFonts w:hint="eastAsia" w:ascii="方正楷体简体" w:hAnsi="方正楷体简体" w:eastAsia="方正楷体简体" w:cs="方正楷体简体"/>
          <w:sz w:val="32"/>
          <w:szCs w:val="32"/>
          <w:u w:val="none"/>
          <w:lang w:val="en-US" w:eastAsia="zh-CN"/>
        </w:rPr>
        <w:t>（二）公务用车购置及运行维护费预算经费情况</w:t>
      </w:r>
    </w:p>
    <w:p>
      <w:pPr>
        <w:keepNext w:val="0"/>
        <w:keepLines w:val="0"/>
        <w:pageBreakBefore w:val="0"/>
        <w:widowControl w:val="0"/>
        <w:kinsoku/>
        <w:wordWrap/>
        <w:overflowPunct/>
        <w:topLinePunct w:val="0"/>
        <w:bidi w:val="0"/>
        <w:snapToGrid/>
        <w:spacing w:line="576" w:lineRule="exact"/>
        <w:ind w:left="0" w:leftChars="0" w:right="0" w:rightChars="0" w:firstLine="640" w:firstLineChars="200"/>
        <w:textAlignment w:val="auto"/>
        <w:outlineLvl w:val="9"/>
        <w:rPr>
          <w:rFonts w:hint="eastAsia" w:ascii="仿宋" w:hAnsi="仿宋" w:eastAsia="仿宋"/>
          <w:sz w:val="32"/>
          <w:szCs w:val="32"/>
          <w:lang w:val="en-US" w:eastAsia="zh-CN"/>
        </w:rPr>
      </w:pPr>
      <w:r>
        <w:rPr>
          <w:rFonts w:hint="eastAsia" w:ascii="仿宋" w:hAnsi="仿宋" w:eastAsia="仿宋"/>
          <w:sz w:val="32"/>
          <w:szCs w:val="32"/>
          <w:u w:val="none"/>
          <w:lang w:val="en-US" w:eastAsia="zh-CN"/>
        </w:rPr>
        <w:t>1.2026年无</w:t>
      </w:r>
      <w:r>
        <w:rPr>
          <w:rFonts w:hint="eastAsia" w:ascii="仿宋" w:hAnsi="仿宋" w:eastAsia="仿宋"/>
          <w:sz w:val="32"/>
          <w:szCs w:val="32"/>
          <w:lang w:val="en-US" w:eastAsia="zh-CN"/>
        </w:rPr>
        <w:t>公务用车购置费，</w:t>
      </w:r>
      <w:r>
        <w:rPr>
          <w:rFonts w:hint="eastAsia" w:ascii="仿宋" w:hAnsi="仿宋" w:eastAsia="仿宋"/>
          <w:sz w:val="32"/>
          <w:szCs w:val="32"/>
          <w:lang w:eastAsia="zh-CN"/>
        </w:rPr>
        <w:t>与</w:t>
      </w:r>
      <w:r>
        <w:rPr>
          <w:rFonts w:hint="eastAsia" w:ascii="仿宋" w:hAnsi="仿宋" w:eastAsia="仿宋"/>
          <w:sz w:val="32"/>
          <w:szCs w:val="32"/>
          <w:lang w:val="en-US" w:eastAsia="zh-CN"/>
        </w:rPr>
        <w:t>2025年持平。</w:t>
      </w:r>
    </w:p>
    <w:p>
      <w:pPr>
        <w:keepNext w:val="0"/>
        <w:keepLines w:val="0"/>
        <w:pageBreakBefore w:val="0"/>
        <w:widowControl w:val="0"/>
        <w:kinsoku/>
        <w:wordWrap/>
        <w:overflowPunct/>
        <w:topLinePunct w:val="0"/>
        <w:bidi w:val="0"/>
        <w:snapToGrid/>
        <w:spacing w:line="576" w:lineRule="exact"/>
        <w:ind w:left="0" w:leftChars="0" w:right="0" w:rightChars="0" w:firstLine="640" w:firstLineChars="200"/>
        <w:textAlignment w:val="auto"/>
        <w:outlineLvl w:val="9"/>
        <w:rPr>
          <w:rFonts w:hint="eastAsia" w:ascii="仿宋" w:hAnsi="仿宋" w:eastAsia="仿宋"/>
          <w:sz w:val="32"/>
          <w:szCs w:val="32"/>
          <w:lang w:eastAsia="zh-CN"/>
        </w:rPr>
      </w:pPr>
      <w:r>
        <w:rPr>
          <w:rFonts w:hint="eastAsia" w:ascii="仿宋" w:hAnsi="仿宋" w:eastAsia="仿宋"/>
          <w:sz w:val="32"/>
          <w:szCs w:val="32"/>
          <w:lang w:val="en-US" w:eastAsia="zh-CN"/>
        </w:rPr>
        <w:t>2.2026年公务用车运行维护费预算数为18.25万元，较2025年减少23.75万元，减少56.55%，减少原因为：2026年公务用车运行维护费减少。</w:t>
      </w:r>
      <w:r>
        <w:rPr>
          <w:rFonts w:hint="eastAsia" w:ascii="仿宋" w:hAnsi="仿宋" w:eastAsia="仿宋"/>
          <w:sz w:val="32"/>
          <w:szCs w:val="32"/>
        </w:rPr>
        <w:t>公务用车保有量</w:t>
      </w:r>
      <w:r>
        <w:rPr>
          <w:rFonts w:hint="eastAsia" w:ascii="仿宋" w:hAnsi="仿宋" w:eastAsia="仿宋"/>
          <w:sz w:val="32"/>
          <w:szCs w:val="32"/>
          <w:lang w:eastAsia="zh-CN"/>
        </w:rPr>
        <w:t>为</w:t>
      </w:r>
      <w:r>
        <w:rPr>
          <w:rFonts w:hint="eastAsia" w:ascii="仿宋" w:hAnsi="仿宋" w:eastAsia="仿宋"/>
          <w:color w:val="000000" w:themeColor="text1"/>
          <w:sz w:val="32"/>
          <w:szCs w:val="32"/>
          <w:lang w:val="en-US" w:eastAsia="zh-CN"/>
          <w14:textFill>
            <w14:solidFill>
              <w14:schemeClr w14:val="tx1"/>
            </w14:solidFill>
          </w14:textFill>
        </w:rPr>
        <w:t>17辆，较2025年持平</w:t>
      </w:r>
      <w:r>
        <w:rPr>
          <w:rFonts w:hint="eastAsia" w:ascii="仿宋" w:hAnsi="仿宋" w:eastAsia="仿宋"/>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bidi w:val="0"/>
        <w:snapToGrid/>
        <w:spacing w:line="576" w:lineRule="exact"/>
        <w:ind w:leftChars="200" w:right="0" w:rightChars="0"/>
        <w:textAlignment w:val="auto"/>
        <w:outlineLvl w:val="9"/>
        <w:rPr>
          <w:rFonts w:hint="eastAsia" w:ascii="方正楷体简体" w:hAnsi="方正楷体简体" w:eastAsia="方正楷体简体" w:cs="方正楷体简体"/>
          <w:sz w:val="32"/>
          <w:szCs w:val="32"/>
          <w:lang w:eastAsia="zh-CN"/>
        </w:rPr>
      </w:pPr>
      <w:r>
        <w:rPr>
          <w:rFonts w:hint="eastAsia" w:ascii="方正楷体简体" w:hAnsi="方正楷体简体" w:eastAsia="方正楷体简体" w:cs="方正楷体简体"/>
          <w:sz w:val="32"/>
          <w:szCs w:val="32"/>
          <w:lang w:eastAsia="zh-CN"/>
        </w:rPr>
        <w:t>（三）公务接待费预算情况</w:t>
      </w:r>
    </w:p>
    <w:p>
      <w:pPr>
        <w:keepNext w:val="0"/>
        <w:keepLines w:val="0"/>
        <w:pageBreakBefore w:val="0"/>
        <w:widowControl w:val="0"/>
        <w:numPr>
          <w:ilvl w:val="0"/>
          <w:numId w:val="0"/>
        </w:numPr>
        <w:kinsoku/>
        <w:wordWrap/>
        <w:overflowPunct/>
        <w:topLinePunct w:val="0"/>
        <w:bidi w:val="0"/>
        <w:snapToGrid/>
        <w:spacing w:line="576" w:lineRule="exact"/>
        <w:ind w:left="0" w:leftChars="0" w:right="0" w:rightChars="0"/>
        <w:textAlignment w:val="auto"/>
        <w:outlineLvl w:val="9"/>
        <w:rPr>
          <w:rFonts w:ascii="仿宋" w:hAnsi="仿宋" w:eastAsia="仿宋"/>
          <w:sz w:val="32"/>
          <w:szCs w:val="32"/>
          <w:lang w:val="en-US"/>
        </w:rPr>
      </w:pPr>
      <w:r>
        <w:rPr>
          <w:rFonts w:hint="eastAsia" w:ascii="仿宋" w:hAnsi="仿宋" w:eastAsia="仿宋"/>
          <w:sz w:val="32"/>
          <w:szCs w:val="32"/>
          <w:lang w:val="en-US" w:eastAsia="zh-CN"/>
        </w:rPr>
        <w:t xml:space="preserve">    2026年公务接待费预算数无，较2025年持平</w:t>
      </w:r>
    </w:p>
    <w:p>
      <w:pPr>
        <w:keepNext w:val="0"/>
        <w:keepLines w:val="0"/>
        <w:pageBreakBefore w:val="0"/>
        <w:widowControl w:val="0"/>
        <w:kinsoku/>
        <w:wordWrap/>
        <w:overflowPunct/>
        <w:topLinePunct w:val="0"/>
        <w:bidi w:val="0"/>
        <w:snapToGrid/>
        <w:spacing w:line="576" w:lineRule="exact"/>
        <w:ind w:left="0" w:leftChars="0" w:right="0" w:rightChars="0" w:firstLine="640" w:firstLineChars="200"/>
        <w:textAlignment w:val="auto"/>
        <w:outlineLvl w:val="9"/>
        <w:rPr>
          <w:rFonts w:ascii="黑体" w:hAnsi="黑体" w:eastAsia="黑体"/>
          <w:sz w:val="32"/>
          <w:szCs w:val="32"/>
        </w:rPr>
      </w:pPr>
      <w:r>
        <w:rPr>
          <w:rFonts w:hint="eastAsia" w:ascii="黑体" w:hAnsi="黑体" w:eastAsia="黑体"/>
          <w:sz w:val="32"/>
          <w:szCs w:val="32"/>
        </w:rPr>
        <w:t>八、政府性基金预算支出总体情况</w:t>
      </w:r>
    </w:p>
    <w:p>
      <w:pPr>
        <w:keepNext w:val="0"/>
        <w:keepLines w:val="0"/>
        <w:pageBreakBefore w:val="0"/>
        <w:widowControl w:val="0"/>
        <w:kinsoku/>
        <w:wordWrap/>
        <w:overflowPunct/>
        <w:topLinePunct w:val="0"/>
        <w:bidi w:val="0"/>
        <w:snapToGrid/>
        <w:spacing w:line="576" w:lineRule="exact"/>
        <w:ind w:left="0" w:leftChars="0" w:right="0" w:rightChars="0" w:firstLine="640" w:firstLineChars="200"/>
        <w:textAlignment w:val="auto"/>
        <w:outlineLvl w:val="9"/>
        <w:rPr>
          <w:rFonts w:ascii="仿宋" w:hAnsi="仿宋" w:eastAsia="仿宋"/>
          <w:sz w:val="32"/>
          <w:szCs w:val="32"/>
        </w:rPr>
      </w:pPr>
      <w:r>
        <w:rPr>
          <w:rFonts w:hint="eastAsia" w:ascii="仿宋" w:hAnsi="仿宋" w:eastAsia="仿宋"/>
          <w:sz w:val="32"/>
          <w:szCs w:val="32"/>
          <w:lang w:val="en-US" w:eastAsia="zh-CN"/>
        </w:rPr>
        <w:t>2026年预算，无政府性基金预算支出</w:t>
      </w:r>
      <w:r>
        <w:rPr>
          <w:rFonts w:hint="eastAsia" w:ascii="仿宋_GB2312" w:eastAsia="仿宋_GB2312" w:cs="仿宋_GB2312" w:hAnsiTheme="minorHAnsi"/>
          <w:kern w:val="0"/>
          <w:sz w:val="32"/>
          <w:szCs w:val="32"/>
        </w:rPr>
        <w:t>。</w:t>
      </w:r>
    </w:p>
    <w:p>
      <w:pPr>
        <w:keepNext w:val="0"/>
        <w:keepLines w:val="0"/>
        <w:pageBreakBefore w:val="0"/>
        <w:widowControl w:val="0"/>
        <w:kinsoku/>
        <w:wordWrap/>
        <w:overflowPunct/>
        <w:topLinePunct w:val="0"/>
        <w:bidi w:val="0"/>
        <w:snapToGrid/>
        <w:spacing w:line="576" w:lineRule="exact"/>
        <w:ind w:left="0" w:leftChars="0" w:right="0" w:rightChars="0" w:firstLine="640" w:firstLineChars="200"/>
        <w:textAlignment w:val="auto"/>
        <w:outlineLvl w:val="9"/>
        <w:rPr>
          <w:rFonts w:ascii="黑体" w:hAnsi="黑体" w:eastAsia="黑体"/>
          <w:sz w:val="32"/>
          <w:szCs w:val="32"/>
        </w:rPr>
      </w:pPr>
      <w:r>
        <w:rPr>
          <w:rFonts w:hint="eastAsia" w:ascii="黑体" w:hAnsi="黑体" w:eastAsia="黑体"/>
          <w:sz w:val="32"/>
          <w:szCs w:val="32"/>
        </w:rPr>
        <w:t>九、政府性</w:t>
      </w:r>
      <w:r>
        <w:rPr>
          <w:rFonts w:ascii="黑体" w:hAnsi="黑体" w:eastAsia="黑体"/>
          <w:sz w:val="32"/>
          <w:szCs w:val="32"/>
        </w:rPr>
        <w:t>基金“</w:t>
      </w:r>
      <w:r>
        <w:rPr>
          <w:rFonts w:hint="eastAsia" w:ascii="黑体" w:hAnsi="黑体" w:eastAsia="黑体"/>
          <w:sz w:val="32"/>
          <w:szCs w:val="32"/>
        </w:rPr>
        <w:t>三公</w:t>
      </w:r>
      <w:r>
        <w:rPr>
          <w:rFonts w:ascii="黑体" w:hAnsi="黑体" w:eastAsia="黑体"/>
          <w:sz w:val="32"/>
          <w:szCs w:val="32"/>
        </w:rPr>
        <w:t>”</w:t>
      </w:r>
      <w:r>
        <w:rPr>
          <w:rFonts w:hint="eastAsia" w:ascii="黑体" w:hAnsi="黑体" w:eastAsia="黑体"/>
          <w:sz w:val="32"/>
          <w:szCs w:val="32"/>
        </w:rPr>
        <w:t>经费总体</w:t>
      </w:r>
      <w:r>
        <w:rPr>
          <w:rFonts w:ascii="黑体" w:hAnsi="黑体" w:eastAsia="黑体"/>
          <w:sz w:val="32"/>
          <w:szCs w:val="32"/>
        </w:rPr>
        <w:t>情况</w:t>
      </w:r>
    </w:p>
    <w:p>
      <w:pPr>
        <w:keepNext w:val="0"/>
        <w:keepLines w:val="0"/>
        <w:pageBreakBefore w:val="0"/>
        <w:widowControl w:val="0"/>
        <w:kinsoku/>
        <w:wordWrap/>
        <w:overflowPunct/>
        <w:topLinePunct w:val="0"/>
        <w:bidi w:val="0"/>
        <w:snapToGrid/>
        <w:spacing w:line="576"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lang w:val="en-US" w:eastAsia="zh-CN"/>
        </w:rPr>
        <w:t>2026年预算，无</w:t>
      </w:r>
      <w:r>
        <w:rPr>
          <w:rFonts w:hint="eastAsia" w:ascii="仿宋" w:hAnsi="仿宋" w:eastAsia="仿宋"/>
          <w:sz w:val="32"/>
          <w:szCs w:val="32"/>
          <w:lang w:eastAsia="zh-CN"/>
        </w:rPr>
        <w:t>政府性基金“三公”经费安排的支出</w:t>
      </w:r>
      <w:r>
        <w:rPr>
          <w:rFonts w:hint="eastAsia" w:ascii="仿宋_GB2312" w:eastAsia="仿宋_GB2312" w:cs="仿宋_GB2312" w:hAnsiTheme="minorHAnsi"/>
          <w:kern w:val="0"/>
          <w:sz w:val="32"/>
          <w:szCs w:val="32"/>
        </w:rPr>
        <w:t>。</w:t>
      </w:r>
    </w:p>
    <w:p>
      <w:pPr>
        <w:keepNext w:val="0"/>
        <w:keepLines w:val="0"/>
        <w:pageBreakBefore w:val="0"/>
        <w:widowControl w:val="0"/>
        <w:kinsoku/>
        <w:wordWrap/>
        <w:overflowPunct/>
        <w:topLinePunct w:val="0"/>
        <w:bidi w:val="0"/>
        <w:snapToGrid/>
        <w:spacing w:line="576" w:lineRule="exact"/>
        <w:ind w:left="0" w:leftChars="0" w:right="0" w:rightChars="0" w:firstLine="640" w:firstLineChars="200"/>
        <w:textAlignment w:val="auto"/>
        <w:outlineLvl w:val="9"/>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其他重要事项的情况说明</w:t>
      </w:r>
    </w:p>
    <w:p>
      <w:pPr>
        <w:keepNext w:val="0"/>
        <w:keepLines w:val="0"/>
        <w:pageBreakBefore w:val="0"/>
        <w:widowControl w:val="0"/>
        <w:kinsoku/>
        <w:wordWrap/>
        <w:overflowPunct/>
        <w:topLinePunct w:val="0"/>
        <w:bidi w:val="0"/>
        <w:snapToGrid/>
        <w:spacing w:line="576" w:lineRule="exact"/>
        <w:ind w:left="0" w:leftChars="0" w:right="0" w:rightChars="0" w:firstLine="480" w:firstLineChars="150"/>
        <w:textAlignment w:val="auto"/>
        <w:outlineLvl w:val="9"/>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（一）机关运行经费安排使用情况说明。</w:t>
      </w:r>
    </w:p>
    <w:p>
      <w:pPr>
        <w:keepNext w:val="0"/>
        <w:keepLines w:val="0"/>
        <w:pageBreakBefore w:val="0"/>
        <w:widowControl w:val="0"/>
        <w:kinsoku/>
        <w:wordWrap/>
        <w:overflowPunct/>
        <w:topLinePunct w:val="0"/>
        <w:autoSpaceDE w:val="0"/>
        <w:autoSpaceDN w:val="0"/>
        <w:bidi w:val="0"/>
        <w:adjustRightInd w:val="0"/>
        <w:snapToGrid/>
        <w:spacing w:line="576" w:lineRule="exact"/>
        <w:ind w:left="0" w:leftChars="0" w:right="0" w:rightChars="0" w:firstLine="640" w:firstLineChars="200"/>
        <w:textAlignment w:val="auto"/>
        <w:outlineLvl w:val="9"/>
        <w:rPr>
          <w:rFonts w:ascii="仿宋" w:hAnsi="仿宋" w:eastAsia="仿宋"/>
          <w:sz w:val="32"/>
          <w:szCs w:val="32"/>
          <w:u w:val="none"/>
        </w:rPr>
      </w:pPr>
      <w:r>
        <w:rPr>
          <w:rFonts w:ascii="仿宋" w:hAnsi="仿宋" w:eastAsia="仿宋"/>
          <w:sz w:val="32"/>
          <w:szCs w:val="32"/>
          <w:u w:val="none"/>
        </w:rPr>
        <w:t>202</w:t>
      </w:r>
      <w:r>
        <w:rPr>
          <w:rFonts w:hint="eastAsia" w:ascii="仿宋" w:hAnsi="仿宋" w:eastAsia="仿宋"/>
          <w:sz w:val="32"/>
          <w:szCs w:val="32"/>
          <w:u w:val="none"/>
          <w:lang w:val="en-US" w:eastAsia="zh-CN"/>
        </w:rPr>
        <w:t>6</w:t>
      </w:r>
      <w:r>
        <w:rPr>
          <w:rFonts w:hint="eastAsia" w:ascii="仿宋" w:hAnsi="仿宋" w:eastAsia="仿宋"/>
          <w:sz w:val="32"/>
          <w:szCs w:val="32"/>
          <w:u w:val="none"/>
        </w:rPr>
        <w:t>年机关参公管理事业单位的机关运行经费财政拨款预算</w:t>
      </w:r>
      <w:r>
        <w:rPr>
          <w:rFonts w:hint="eastAsia" w:ascii="仿宋_GB2312" w:eastAsia="仿宋_GB2312" w:cs="仿宋_GB2312" w:hAnsiTheme="minorHAnsi"/>
          <w:kern w:val="0"/>
          <w:sz w:val="32"/>
          <w:szCs w:val="32"/>
          <w:u w:val="none"/>
          <w:lang w:val="en-US" w:eastAsia="zh-CN"/>
        </w:rPr>
        <w:t>152.57</w:t>
      </w:r>
      <w:r>
        <w:rPr>
          <w:rFonts w:hint="eastAsia" w:ascii="仿宋" w:hAnsi="仿宋" w:eastAsia="仿宋"/>
          <w:color w:val="000000" w:themeColor="text1"/>
          <w:sz w:val="32"/>
          <w:szCs w:val="32"/>
          <w:u w:val="none"/>
          <w14:textFill>
            <w14:solidFill>
              <w14:schemeClr w14:val="tx1"/>
            </w14:solidFill>
          </w14:textFill>
        </w:rPr>
        <w:t>万元，比</w:t>
      </w:r>
      <w:r>
        <w:rPr>
          <w:rFonts w:ascii="仿宋" w:hAnsi="仿宋" w:eastAsia="仿宋"/>
          <w:color w:val="000000" w:themeColor="text1"/>
          <w:sz w:val="32"/>
          <w:szCs w:val="32"/>
          <w:u w:val="none"/>
          <w14:textFill>
            <w14:solidFill>
              <w14:schemeClr w14:val="tx1"/>
            </w14:solidFill>
          </w14:textFill>
        </w:rPr>
        <w:t>202</w:t>
      </w:r>
      <w:r>
        <w:rPr>
          <w:rFonts w:hint="eastAsia" w:ascii="仿宋" w:hAnsi="仿宋" w:eastAsia="仿宋"/>
          <w:color w:val="000000" w:themeColor="text1"/>
          <w:sz w:val="32"/>
          <w:szCs w:val="32"/>
          <w:u w:val="none"/>
          <w:lang w:val="en-US" w:eastAsia="zh-CN"/>
          <w14:textFill>
            <w14:solidFill>
              <w14:schemeClr w14:val="tx1"/>
            </w14:solidFill>
          </w14:textFill>
        </w:rPr>
        <w:t>4</w:t>
      </w:r>
      <w:r>
        <w:rPr>
          <w:rFonts w:hint="eastAsia" w:ascii="仿宋" w:hAnsi="仿宋" w:eastAsia="仿宋"/>
          <w:color w:val="000000" w:themeColor="text1"/>
          <w:sz w:val="32"/>
          <w:szCs w:val="32"/>
          <w:u w:val="none"/>
          <w14:textFill>
            <w14:solidFill>
              <w14:schemeClr w14:val="tx1"/>
            </w14:solidFill>
          </w14:textFill>
        </w:rPr>
        <w:t>年预算</w:t>
      </w:r>
      <w:r>
        <w:rPr>
          <w:rFonts w:hint="eastAsia" w:ascii="仿宋" w:hAnsi="仿宋" w:eastAsia="仿宋"/>
          <w:color w:val="000000" w:themeColor="text1"/>
          <w:sz w:val="32"/>
          <w:szCs w:val="32"/>
          <w:u w:val="none"/>
          <w:lang w:val="en-US" w:eastAsia="zh-CN"/>
          <w14:textFill>
            <w14:solidFill>
              <w14:schemeClr w14:val="tx1"/>
            </w14:solidFill>
          </w14:textFill>
        </w:rPr>
        <w:t>减少23.56</w:t>
      </w:r>
      <w:r>
        <w:rPr>
          <w:rFonts w:hint="eastAsia" w:ascii="仿宋" w:hAnsi="仿宋" w:eastAsia="仿宋"/>
          <w:color w:val="000000" w:themeColor="text1"/>
          <w:sz w:val="32"/>
          <w:szCs w:val="32"/>
          <w:u w:val="none"/>
          <w14:textFill>
            <w14:solidFill>
              <w14:schemeClr w14:val="tx1"/>
            </w14:solidFill>
          </w14:textFill>
        </w:rPr>
        <w:t>万元，</w:t>
      </w:r>
      <w:r>
        <w:rPr>
          <w:rFonts w:hint="eastAsia" w:ascii="仿宋" w:hAnsi="仿宋" w:eastAsia="仿宋"/>
          <w:color w:val="000000" w:themeColor="text1"/>
          <w:sz w:val="32"/>
          <w:szCs w:val="32"/>
          <w:u w:val="none"/>
          <w:lang w:val="en-US" w:eastAsia="zh-CN"/>
          <w14:textFill>
            <w14:solidFill>
              <w14:schemeClr w14:val="tx1"/>
            </w14:solidFill>
          </w14:textFill>
        </w:rPr>
        <w:t>减少</w:t>
      </w:r>
      <w:r>
        <w:rPr>
          <w:rFonts w:hint="eastAsia" w:ascii="仿宋_GB2312" w:eastAsia="仿宋_GB2312" w:cs="仿宋_GB2312" w:hAnsiTheme="minorHAnsi"/>
          <w:color w:val="000000" w:themeColor="text1"/>
          <w:kern w:val="0"/>
          <w:sz w:val="32"/>
          <w:szCs w:val="32"/>
          <w:u w:val="none"/>
          <w:lang w:val="en-US" w:eastAsia="zh-CN"/>
          <w14:textFill>
            <w14:solidFill>
              <w14:schemeClr w14:val="tx1"/>
            </w14:solidFill>
          </w14:textFill>
        </w:rPr>
        <w:t>13.38</w:t>
      </w:r>
      <w:r>
        <w:rPr>
          <w:rFonts w:ascii="仿宋" w:hAnsi="仿宋" w:eastAsia="仿宋"/>
          <w:color w:val="000000" w:themeColor="text1"/>
          <w:sz w:val="32"/>
          <w:szCs w:val="32"/>
          <w:u w:val="none"/>
          <w14:textFill>
            <w14:solidFill>
              <w14:schemeClr w14:val="tx1"/>
            </w14:solidFill>
          </w14:textFill>
        </w:rPr>
        <w:t>%</w:t>
      </w:r>
      <w:r>
        <w:rPr>
          <w:rFonts w:hint="eastAsia" w:ascii="仿宋" w:hAnsi="仿宋" w:eastAsia="仿宋"/>
          <w:color w:val="000000" w:themeColor="text1"/>
          <w:sz w:val="32"/>
          <w:szCs w:val="32"/>
          <w:u w:val="none"/>
          <w14:textFill>
            <w14:solidFill>
              <w14:schemeClr w14:val="tx1"/>
            </w14:solidFill>
          </w14:textFill>
        </w:rPr>
        <w:t>。</w:t>
      </w:r>
      <w:r>
        <w:rPr>
          <w:rFonts w:hint="eastAsia" w:ascii="仿宋" w:hAnsi="仿宋" w:eastAsia="仿宋"/>
          <w:sz w:val="32"/>
          <w:szCs w:val="32"/>
          <w:u w:val="none"/>
          <w:lang w:val="en-US" w:eastAsia="zh-CN"/>
        </w:rPr>
        <w:t>减少原因为：差旅费、会议费、培训费、公务接待费、委托业务费、福利费、公务用车运行维护费减少</w:t>
      </w:r>
      <w:r>
        <w:rPr>
          <w:rFonts w:hint="eastAsia" w:ascii="仿宋_GB2312" w:eastAsia="仿宋_GB2312" w:cs="仿宋_GB2312" w:hAnsiTheme="minorHAnsi"/>
          <w:kern w:val="0"/>
          <w:sz w:val="32"/>
          <w:szCs w:val="32"/>
          <w:u w:val="none"/>
        </w:rPr>
        <w:t>。</w:t>
      </w:r>
    </w:p>
    <w:p>
      <w:pPr>
        <w:keepNext w:val="0"/>
        <w:keepLines w:val="0"/>
        <w:pageBreakBefore w:val="0"/>
        <w:widowControl w:val="0"/>
        <w:kinsoku/>
        <w:wordWrap/>
        <w:overflowPunct/>
        <w:topLinePunct w:val="0"/>
        <w:autoSpaceDE w:val="0"/>
        <w:autoSpaceDN w:val="0"/>
        <w:bidi w:val="0"/>
        <w:adjustRightInd w:val="0"/>
        <w:snapToGrid/>
        <w:spacing w:line="576" w:lineRule="exact"/>
        <w:ind w:left="0" w:leftChars="0" w:right="0" w:rightChars="0" w:firstLine="640" w:firstLineChars="200"/>
        <w:textAlignment w:val="auto"/>
        <w:outlineLvl w:val="9"/>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（二）政府采购情况说明。</w:t>
      </w:r>
    </w:p>
    <w:p>
      <w:pPr>
        <w:keepNext w:val="0"/>
        <w:keepLines w:val="0"/>
        <w:pageBreakBefore w:val="0"/>
        <w:widowControl w:val="0"/>
        <w:kinsoku/>
        <w:wordWrap/>
        <w:overflowPunct/>
        <w:topLinePunct w:val="0"/>
        <w:autoSpaceDE w:val="0"/>
        <w:autoSpaceDN w:val="0"/>
        <w:bidi w:val="0"/>
        <w:adjustRightInd w:val="0"/>
        <w:snapToGrid/>
        <w:spacing w:line="576" w:lineRule="exact"/>
        <w:ind w:left="0" w:leftChars="0" w:right="0" w:rightChars="0" w:firstLine="640" w:firstLineChars="200"/>
        <w:jc w:val="left"/>
        <w:textAlignment w:val="auto"/>
        <w:outlineLvl w:val="9"/>
        <w:rPr>
          <w:rFonts w:ascii="仿宋_GB2312" w:eastAsia="仿宋_GB2312" w:cs="仿宋_GB2312" w:hAnsiTheme="minorHAnsi"/>
          <w:kern w:val="0"/>
          <w:sz w:val="32"/>
          <w:szCs w:val="32"/>
        </w:rPr>
      </w:pPr>
      <w:r>
        <w:rPr>
          <w:rFonts w:hint="eastAsia" w:ascii="仿宋" w:hAnsi="仿宋" w:eastAsia="仿宋"/>
          <w:sz w:val="32"/>
          <w:szCs w:val="32"/>
          <w:lang w:val="en-US" w:eastAsia="zh-CN"/>
        </w:rPr>
        <w:t>2026年预算，无专项政府采购预算。</w:t>
      </w:r>
    </w:p>
    <w:p>
      <w:pPr>
        <w:keepNext w:val="0"/>
        <w:keepLines w:val="0"/>
        <w:pageBreakBefore w:val="0"/>
        <w:widowControl w:val="0"/>
        <w:kinsoku/>
        <w:wordWrap/>
        <w:overflowPunct/>
        <w:topLinePunct w:val="0"/>
        <w:bidi w:val="0"/>
        <w:snapToGrid/>
        <w:spacing w:line="576" w:lineRule="exact"/>
        <w:ind w:left="0" w:leftChars="0" w:right="0" w:rightChars="0" w:firstLine="640" w:firstLineChars="200"/>
        <w:textAlignment w:val="auto"/>
        <w:outlineLvl w:val="9"/>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（三）国有资产占有使用情况说明。</w:t>
      </w:r>
    </w:p>
    <w:p>
      <w:pPr>
        <w:keepNext w:val="0"/>
        <w:keepLines w:val="0"/>
        <w:pageBreakBefore w:val="0"/>
        <w:widowControl w:val="0"/>
        <w:kinsoku/>
        <w:wordWrap/>
        <w:overflowPunct/>
        <w:topLinePunct w:val="0"/>
        <w:autoSpaceDE w:val="0"/>
        <w:autoSpaceDN w:val="0"/>
        <w:bidi w:val="0"/>
        <w:adjustRightInd w:val="0"/>
        <w:snapToGrid/>
        <w:spacing w:line="576" w:lineRule="exact"/>
        <w:ind w:left="0" w:leftChars="0" w:right="0" w:rightChars="0" w:firstLine="640" w:firstLineChars="200"/>
        <w:textAlignment w:val="auto"/>
        <w:outlineLvl w:val="9"/>
        <w:rPr>
          <w:rFonts w:ascii="仿宋" w:hAnsi="仿宋" w:eastAsia="仿宋"/>
          <w:sz w:val="32"/>
          <w:szCs w:val="32"/>
          <w:u w:val="none"/>
        </w:rPr>
      </w:pPr>
      <w:r>
        <w:rPr>
          <w:rFonts w:hint="eastAsia" w:ascii="仿宋" w:hAnsi="仿宋" w:eastAsia="仿宋"/>
          <w:sz w:val="32"/>
          <w:szCs w:val="32"/>
        </w:rPr>
        <w:t>截至</w:t>
      </w:r>
      <w:r>
        <w:rPr>
          <w:rFonts w:hint="eastAsia" w:ascii="仿宋" w:hAnsi="仿宋" w:eastAsia="仿宋"/>
          <w:sz w:val="32"/>
          <w:szCs w:val="32"/>
          <w:lang w:val="en-US" w:eastAsia="zh-CN"/>
        </w:rPr>
        <w:t>目前</w:t>
      </w:r>
      <w:r>
        <w:rPr>
          <w:rFonts w:hint="eastAsia" w:ascii="仿宋" w:hAnsi="仿宋" w:eastAsia="仿宋"/>
          <w:sz w:val="32"/>
          <w:szCs w:val="32"/>
        </w:rPr>
        <w:t>，本</w:t>
      </w:r>
      <w:r>
        <w:rPr>
          <w:rFonts w:hint="eastAsia" w:ascii="仿宋" w:hAnsi="仿宋" w:eastAsia="仿宋"/>
          <w:sz w:val="32"/>
          <w:szCs w:val="32"/>
          <w:lang w:val="en-US" w:eastAsia="zh-CN"/>
        </w:rPr>
        <w:t>单位</w:t>
      </w:r>
      <w:r>
        <w:rPr>
          <w:rFonts w:hint="eastAsia" w:ascii="仿宋" w:hAnsi="仿宋" w:eastAsia="仿宋"/>
          <w:sz w:val="32"/>
          <w:szCs w:val="32"/>
        </w:rPr>
        <w:t>共有</w:t>
      </w:r>
      <w:r>
        <w:rPr>
          <w:rFonts w:hint="eastAsia" w:ascii="仿宋" w:hAnsi="仿宋" w:eastAsia="仿宋"/>
          <w:sz w:val="32"/>
          <w:szCs w:val="32"/>
          <w:u w:val="none"/>
        </w:rPr>
        <w:t>执法执勤用车</w:t>
      </w:r>
      <w:r>
        <w:rPr>
          <w:rFonts w:hint="eastAsia" w:ascii="仿宋" w:hAnsi="仿宋" w:eastAsia="仿宋"/>
          <w:sz w:val="32"/>
          <w:szCs w:val="32"/>
          <w:u w:val="none"/>
          <w:lang w:val="en-US" w:eastAsia="zh-CN"/>
        </w:rPr>
        <w:t>17</w:t>
      </w:r>
      <w:r>
        <w:rPr>
          <w:rFonts w:hint="eastAsia" w:ascii="仿宋" w:hAnsi="仿宋" w:eastAsia="仿宋"/>
          <w:sz w:val="32"/>
          <w:szCs w:val="32"/>
          <w:u w:val="none"/>
        </w:rPr>
        <w:t>辆。</w:t>
      </w:r>
    </w:p>
    <w:p>
      <w:pPr>
        <w:keepNext w:val="0"/>
        <w:keepLines w:val="0"/>
        <w:pageBreakBefore w:val="0"/>
        <w:widowControl w:val="0"/>
        <w:kinsoku/>
        <w:wordWrap/>
        <w:overflowPunct/>
        <w:topLinePunct w:val="0"/>
        <w:bidi w:val="0"/>
        <w:snapToGrid/>
        <w:spacing w:line="576" w:lineRule="exact"/>
        <w:ind w:left="0" w:leftChars="0" w:right="0" w:rightChars="0" w:firstLine="640" w:firstLineChars="200"/>
        <w:textAlignment w:val="auto"/>
        <w:outlineLvl w:val="9"/>
        <w:rPr>
          <w:rFonts w:hint="eastAsia" w:ascii="方正楷体简体" w:hAnsi="方正楷体简体" w:eastAsia="方正楷体简体" w:cs="方正楷体简体"/>
          <w:b/>
          <w:sz w:val="32"/>
          <w:szCs w:val="32"/>
        </w:rPr>
      </w:pPr>
      <w:r>
        <w:rPr>
          <w:rFonts w:hint="eastAsia" w:ascii="方正楷体简体" w:hAnsi="方正楷体简体" w:eastAsia="方正楷体简体" w:cs="方正楷体简体"/>
          <w:sz w:val="32"/>
          <w:szCs w:val="32"/>
        </w:rPr>
        <w:t>（四）202</w:t>
      </w:r>
      <w:r>
        <w:rPr>
          <w:rFonts w:hint="eastAsia" w:ascii="方正楷体简体" w:hAnsi="方正楷体简体" w:eastAsia="方正楷体简体" w:cs="方正楷体简体"/>
          <w:sz w:val="32"/>
          <w:szCs w:val="32"/>
          <w:lang w:val="en-US" w:eastAsia="zh-CN"/>
        </w:rPr>
        <w:t>6</w:t>
      </w:r>
      <w:r>
        <w:rPr>
          <w:rFonts w:hint="eastAsia" w:ascii="方正楷体简体" w:hAnsi="方正楷体简体" w:eastAsia="方正楷体简体" w:cs="方正楷体简体"/>
          <w:sz w:val="32"/>
          <w:szCs w:val="32"/>
        </w:rPr>
        <w:t>年预算绩效情况说明。</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outlineLvl w:val="9"/>
        <w:rPr>
          <w:rFonts w:ascii="仿宋" w:hAnsi="仿宋" w:eastAsia="仿宋"/>
          <w:sz w:val="32"/>
          <w:szCs w:val="32"/>
        </w:rPr>
      </w:pPr>
      <w:r>
        <w:rPr>
          <w:rFonts w:hint="default" w:ascii="Times New Roman" w:hAnsi="Times New Roman" w:eastAsia="方正仿宋简体" w:cs="Times New Roman"/>
          <w:sz w:val="32"/>
          <w:szCs w:val="32"/>
        </w:rPr>
        <w:t xml:space="preserve"> </w:t>
      </w:r>
      <w:r>
        <w:rPr>
          <w:rFonts w:hint="eastAsia"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202</w:t>
      </w:r>
      <w:r>
        <w:rPr>
          <w:rFonts w:hint="eastAsia" w:eastAsia="方正仿宋简体" w:cs="Times New Roman"/>
          <w:sz w:val="32"/>
          <w:szCs w:val="32"/>
          <w:lang w:val="en-US" w:eastAsia="zh-CN"/>
        </w:rPr>
        <w:t>6</w:t>
      </w:r>
      <w:r>
        <w:rPr>
          <w:rFonts w:hint="default" w:ascii="Times New Roman" w:hAnsi="Times New Roman" w:eastAsia="方正仿宋简体" w:cs="Times New Roman"/>
          <w:sz w:val="32"/>
          <w:szCs w:val="32"/>
        </w:rPr>
        <w:t>年财政安排年初预算收入为</w:t>
      </w:r>
      <w:r>
        <w:rPr>
          <w:rFonts w:hint="eastAsia" w:eastAsia="方正仿宋简体" w:cs="Times New Roman"/>
          <w:sz w:val="32"/>
          <w:szCs w:val="32"/>
          <w:lang w:val="en-US" w:eastAsia="zh-CN"/>
        </w:rPr>
        <w:t>3928.88</w:t>
      </w:r>
      <w:r>
        <w:rPr>
          <w:rFonts w:hint="default" w:ascii="Times New Roman" w:hAnsi="Times New Roman" w:eastAsia="方正仿宋简体" w:cs="Times New Roman"/>
          <w:sz w:val="32"/>
          <w:szCs w:val="32"/>
        </w:rPr>
        <w:t>万元，将严格按照那曲市财政局的预算安排予以开支。</w:t>
      </w:r>
    </w:p>
    <w:p>
      <w:pPr>
        <w:keepNext w:val="0"/>
        <w:keepLines w:val="0"/>
        <w:pageBreakBefore w:val="0"/>
        <w:widowControl w:val="0"/>
        <w:numPr>
          <w:ilvl w:val="0"/>
          <w:numId w:val="1"/>
        </w:numPr>
        <w:kinsoku/>
        <w:wordWrap/>
        <w:overflowPunct/>
        <w:topLinePunct w:val="0"/>
        <w:bidi w:val="0"/>
        <w:snapToGrid/>
        <w:spacing w:line="576" w:lineRule="exact"/>
        <w:ind w:left="0" w:leftChars="0" w:right="0" w:rightChars="0" w:firstLine="640" w:firstLineChars="200"/>
        <w:textAlignment w:val="auto"/>
        <w:outlineLvl w:val="9"/>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扶贫资金管理使用情况及绩效目标情况说明。</w:t>
      </w:r>
    </w:p>
    <w:p>
      <w:pPr>
        <w:keepNext w:val="0"/>
        <w:keepLines w:val="0"/>
        <w:pageBreakBefore w:val="0"/>
        <w:widowControl w:val="0"/>
        <w:kinsoku/>
        <w:wordWrap/>
        <w:overflowPunct/>
        <w:topLinePunct w:val="0"/>
        <w:bidi w:val="0"/>
        <w:snapToGrid/>
        <w:spacing w:line="576" w:lineRule="exact"/>
        <w:ind w:left="0" w:leftChars="0" w:right="0" w:rightChars="0" w:firstLine="640" w:firstLineChars="200"/>
        <w:textAlignment w:val="auto"/>
        <w:outlineLvl w:val="9"/>
        <w:rPr>
          <w:rFonts w:ascii="仿宋" w:hAnsi="仿宋" w:eastAsia="仿宋"/>
          <w:sz w:val="32"/>
          <w:szCs w:val="32"/>
        </w:rPr>
      </w:pPr>
      <w:r>
        <w:rPr>
          <w:rFonts w:hint="eastAsia" w:ascii="仿宋" w:hAnsi="仿宋" w:eastAsia="仿宋"/>
          <w:sz w:val="32"/>
          <w:szCs w:val="32"/>
          <w:u w:val="none"/>
          <w:lang w:val="en-US" w:eastAsia="zh-CN"/>
        </w:rPr>
        <w:t xml:space="preserve"> </w:t>
      </w:r>
      <w:r>
        <w:rPr>
          <w:rFonts w:hint="eastAsia" w:ascii="仿宋" w:hAnsi="仿宋" w:eastAsia="仿宋"/>
          <w:sz w:val="32"/>
          <w:szCs w:val="32"/>
          <w:lang w:val="en-US" w:eastAsia="zh-CN"/>
        </w:rPr>
        <w:t>2026年预算，无</w:t>
      </w:r>
      <w:r>
        <w:rPr>
          <w:rFonts w:hint="eastAsia" w:ascii="仿宋" w:hAnsi="仿宋" w:eastAsia="仿宋"/>
          <w:sz w:val="32"/>
          <w:szCs w:val="32"/>
          <w:u w:val="none"/>
          <w:lang w:val="en-US" w:eastAsia="zh-CN"/>
        </w:rPr>
        <w:t>扶贫项目资金</w:t>
      </w:r>
      <w:r>
        <w:rPr>
          <w:rFonts w:hint="eastAsia" w:ascii="仿宋_GB2312" w:eastAsia="仿宋_GB2312" w:cs="仿宋_GB2312" w:hAnsiTheme="minorHAnsi"/>
          <w:kern w:val="0"/>
          <w:sz w:val="32"/>
          <w:szCs w:val="32"/>
        </w:rPr>
        <w:t>。</w:t>
      </w:r>
    </w:p>
    <w:p>
      <w:pPr>
        <w:keepNext w:val="0"/>
        <w:keepLines w:val="0"/>
        <w:pageBreakBefore w:val="0"/>
        <w:widowControl w:val="0"/>
        <w:kinsoku/>
        <w:wordWrap/>
        <w:overflowPunct/>
        <w:topLinePunct w:val="0"/>
        <w:bidi w:val="0"/>
        <w:snapToGrid/>
        <w:spacing w:line="576" w:lineRule="exact"/>
        <w:ind w:left="0" w:leftChars="0" w:right="0" w:rightChars="0" w:firstLine="640" w:firstLineChars="200"/>
        <w:textAlignment w:val="auto"/>
        <w:outlineLvl w:val="9"/>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（六）政府债务情况。</w:t>
      </w:r>
    </w:p>
    <w:p>
      <w:pPr>
        <w:keepNext w:val="0"/>
        <w:keepLines w:val="0"/>
        <w:pageBreakBefore w:val="0"/>
        <w:widowControl w:val="0"/>
        <w:kinsoku/>
        <w:wordWrap/>
        <w:overflowPunct/>
        <w:topLinePunct w:val="0"/>
        <w:bidi w:val="0"/>
        <w:snapToGrid/>
        <w:spacing w:line="576" w:lineRule="exact"/>
        <w:ind w:left="0" w:leftChars="0" w:right="0" w:rightChars="0"/>
        <w:textAlignment w:val="auto"/>
        <w:outlineLvl w:val="9"/>
        <w:rPr>
          <w:rFonts w:hint="eastAsia" w:ascii="仿宋" w:hAnsi="仿宋" w:eastAsia="仿宋"/>
          <w:sz w:val="32"/>
          <w:szCs w:val="32"/>
        </w:rPr>
      </w:pPr>
      <w:r>
        <w:rPr>
          <w:rFonts w:hint="eastAsia" w:ascii="仿宋" w:hAnsi="仿宋" w:eastAsia="仿宋"/>
          <w:sz w:val="32"/>
          <w:szCs w:val="32"/>
          <w:lang w:val="en-US" w:eastAsia="zh-CN"/>
        </w:rPr>
        <w:t xml:space="preserve">     本部门</w:t>
      </w:r>
      <w:r>
        <w:rPr>
          <w:rFonts w:hint="eastAsia" w:ascii="仿宋" w:hAnsi="仿宋" w:eastAsia="仿宋"/>
          <w:sz w:val="32"/>
          <w:szCs w:val="32"/>
          <w:u w:val="none"/>
          <w:lang w:val="en-US" w:eastAsia="zh-CN"/>
        </w:rPr>
        <w:t>无政府债务情况。</w:t>
      </w:r>
    </w:p>
    <w:p>
      <w:pPr>
        <w:keepNext w:val="0"/>
        <w:keepLines w:val="0"/>
        <w:pageBreakBefore w:val="0"/>
        <w:widowControl w:val="0"/>
        <w:kinsoku/>
        <w:wordWrap/>
        <w:overflowPunct/>
        <w:topLinePunct w:val="0"/>
        <w:bidi w:val="0"/>
        <w:snapToGrid/>
        <w:spacing w:line="576" w:lineRule="exact"/>
        <w:ind w:left="0" w:leftChars="0" w:right="0" w:rightChars="0"/>
        <w:jc w:val="center"/>
        <w:textAlignment w:val="auto"/>
        <w:outlineLvl w:val="9"/>
        <w:rPr>
          <w:rFonts w:ascii="方正小标宋简体" w:hAnsi="仿宋" w:eastAsia="方正小标宋简体"/>
          <w:sz w:val="32"/>
          <w:szCs w:val="32"/>
        </w:rPr>
      </w:pPr>
      <w:r>
        <w:rPr>
          <w:rFonts w:hint="eastAsia" w:ascii="方正小标宋简体" w:hAnsi="仿宋" w:eastAsia="方正小标宋简体"/>
          <w:sz w:val="32"/>
          <w:szCs w:val="32"/>
        </w:rPr>
        <w:t>第四部分</w:t>
      </w:r>
    </w:p>
    <w:p>
      <w:pPr>
        <w:keepNext w:val="0"/>
        <w:keepLines w:val="0"/>
        <w:pageBreakBefore w:val="0"/>
        <w:widowControl w:val="0"/>
        <w:kinsoku/>
        <w:wordWrap/>
        <w:overflowPunct/>
        <w:topLinePunct w:val="0"/>
        <w:bidi w:val="0"/>
        <w:snapToGrid/>
        <w:spacing w:line="576" w:lineRule="exact"/>
        <w:ind w:left="0" w:leftChars="0" w:right="0" w:rightChars="0"/>
        <w:jc w:val="center"/>
        <w:textAlignment w:val="auto"/>
        <w:outlineLvl w:val="9"/>
        <w:rPr>
          <w:rFonts w:ascii="方正小标宋简体" w:hAnsi="仿宋" w:eastAsia="方正小标宋简体"/>
          <w:sz w:val="32"/>
          <w:szCs w:val="32"/>
        </w:rPr>
      </w:pPr>
      <w:r>
        <w:rPr>
          <w:rFonts w:hint="eastAsia" w:ascii="方正小标宋简体" w:hAnsi="仿宋" w:eastAsia="方正小标宋简体"/>
          <w:sz w:val="32"/>
          <w:szCs w:val="32"/>
        </w:rPr>
        <w:t>名词解释</w:t>
      </w:r>
    </w:p>
    <w:p>
      <w:pPr>
        <w:keepNext w:val="0"/>
        <w:keepLines w:val="0"/>
        <w:pageBreakBefore w:val="0"/>
        <w:widowControl w:val="0"/>
        <w:kinsoku/>
        <w:wordWrap/>
        <w:overflowPunct/>
        <w:topLinePunct w:val="0"/>
        <w:bidi w:val="0"/>
        <w:snapToGrid/>
        <w:spacing w:line="576" w:lineRule="exact"/>
        <w:ind w:left="0" w:leftChars="0" w:right="0" w:rightChars="0" w:firstLine="640" w:firstLineChars="200"/>
        <w:textAlignment w:val="auto"/>
        <w:outlineLvl w:val="9"/>
        <w:rPr>
          <w:rFonts w:ascii="仿宋" w:hAnsi="仿宋" w:eastAsia="仿宋"/>
          <w:sz w:val="32"/>
          <w:szCs w:val="32"/>
        </w:rPr>
      </w:pPr>
      <w:r>
        <w:rPr>
          <w:rFonts w:hint="eastAsia" w:ascii="仿宋" w:hAnsi="仿宋" w:eastAsia="仿宋"/>
          <w:sz w:val="32"/>
          <w:szCs w:val="32"/>
        </w:rPr>
        <w:t>（对部门</w:t>
      </w:r>
      <w:r>
        <w:rPr>
          <w:rFonts w:ascii="仿宋" w:hAnsi="仿宋" w:eastAsia="仿宋"/>
          <w:sz w:val="32"/>
          <w:szCs w:val="32"/>
        </w:rPr>
        <w:t>和单位</w:t>
      </w:r>
      <w:r>
        <w:rPr>
          <w:rFonts w:hint="eastAsia" w:ascii="仿宋" w:hAnsi="仿宋" w:eastAsia="仿宋"/>
          <w:sz w:val="32"/>
          <w:szCs w:val="32"/>
        </w:rPr>
        <w:t>专业</w:t>
      </w:r>
      <w:r>
        <w:rPr>
          <w:rFonts w:ascii="仿宋" w:hAnsi="仿宋" w:eastAsia="仿宋"/>
          <w:sz w:val="32"/>
          <w:szCs w:val="32"/>
        </w:rPr>
        <w:t>性较强的名次进行解释</w:t>
      </w:r>
      <w:r>
        <w:rPr>
          <w:rFonts w:hint="eastAsia" w:ascii="仿宋" w:hAnsi="仿宋" w:eastAsia="仿宋"/>
          <w:sz w:val="32"/>
          <w:szCs w:val="32"/>
        </w:rPr>
        <w:t>。）</w:t>
      </w:r>
    </w:p>
    <w:p>
      <w:pPr>
        <w:keepNext w:val="0"/>
        <w:keepLines w:val="0"/>
        <w:pageBreakBefore w:val="0"/>
        <w:widowControl w:val="0"/>
        <w:kinsoku/>
        <w:wordWrap/>
        <w:overflowPunct/>
        <w:topLinePunct w:val="0"/>
        <w:bidi w:val="0"/>
        <w:snapToGrid/>
        <w:spacing w:line="576" w:lineRule="exact"/>
        <w:ind w:left="0" w:leftChars="0" w:right="0" w:rightChars="0" w:firstLine="640" w:firstLineChars="200"/>
        <w:textAlignment w:val="auto"/>
        <w:outlineLvl w:val="9"/>
        <w:rPr>
          <w:rFonts w:ascii="仿宋" w:hAnsi="仿宋" w:eastAsia="仿宋"/>
          <w:sz w:val="32"/>
          <w:szCs w:val="32"/>
        </w:rPr>
      </w:pPr>
      <w:r>
        <w:rPr>
          <w:rFonts w:hint="eastAsia" w:ascii="黑体" w:hAnsi="黑体" w:eastAsia="黑体"/>
          <w:sz w:val="32"/>
          <w:szCs w:val="32"/>
        </w:rPr>
        <w:t>一、财政拨款收入：</w:t>
      </w:r>
      <w:r>
        <w:rPr>
          <w:rFonts w:hint="eastAsia" w:ascii="仿宋" w:hAnsi="仿宋" w:eastAsia="仿宋"/>
          <w:sz w:val="32"/>
          <w:szCs w:val="32"/>
        </w:rPr>
        <w:t>本级财政部门当年拨付的财政预算资金，包括一般公共预算财政拨款、政府性基金预算财政拨款和</w:t>
      </w:r>
      <w:r>
        <w:rPr>
          <w:rFonts w:ascii="仿宋" w:hAnsi="仿宋" w:eastAsia="仿宋"/>
          <w:sz w:val="32"/>
          <w:szCs w:val="32"/>
        </w:rPr>
        <w:t>国资预算财政拨款</w:t>
      </w:r>
      <w:r>
        <w:rPr>
          <w:rFonts w:hint="eastAsia" w:ascii="仿宋" w:hAnsi="仿宋" w:eastAsia="仿宋"/>
          <w:sz w:val="32"/>
          <w:szCs w:val="32"/>
        </w:rPr>
        <w:t>。</w:t>
      </w:r>
    </w:p>
    <w:p>
      <w:pPr>
        <w:keepNext w:val="0"/>
        <w:keepLines w:val="0"/>
        <w:pageBreakBefore w:val="0"/>
        <w:widowControl w:val="0"/>
        <w:kinsoku/>
        <w:wordWrap/>
        <w:overflowPunct/>
        <w:topLinePunct w:val="0"/>
        <w:bidi w:val="0"/>
        <w:snapToGrid/>
        <w:spacing w:line="576" w:lineRule="exact"/>
        <w:ind w:left="0" w:leftChars="0" w:right="0" w:rightChars="0" w:firstLine="640" w:firstLineChars="200"/>
        <w:textAlignment w:val="auto"/>
        <w:outlineLvl w:val="9"/>
        <w:rPr>
          <w:rFonts w:ascii="仿宋" w:hAnsi="仿宋" w:eastAsia="仿宋"/>
          <w:sz w:val="32"/>
          <w:szCs w:val="32"/>
        </w:rPr>
      </w:pPr>
      <w:r>
        <w:rPr>
          <w:rFonts w:hint="eastAsia" w:ascii="黑体" w:hAnsi="黑体" w:eastAsia="黑体"/>
          <w:sz w:val="32"/>
          <w:szCs w:val="32"/>
        </w:rPr>
        <w:t>二、事业收入：</w:t>
      </w:r>
      <w:r>
        <w:rPr>
          <w:rFonts w:hint="eastAsia" w:ascii="仿宋" w:hAnsi="仿宋" w:eastAsia="仿宋"/>
          <w:sz w:val="32"/>
          <w:szCs w:val="32"/>
        </w:rPr>
        <w:t>指事业单位开展专业业务活动及辅助活动所取得的收入。</w:t>
      </w:r>
    </w:p>
    <w:p>
      <w:pPr>
        <w:keepNext w:val="0"/>
        <w:keepLines w:val="0"/>
        <w:pageBreakBefore w:val="0"/>
        <w:widowControl w:val="0"/>
        <w:kinsoku/>
        <w:wordWrap/>
        <w:overflowPunct/>
        <w:topLinePunct w:val="0"/>
        <w:bidi w:val="0"/>
        <w:snapToGrid/>
        <w:spacing w:line="576" w:lineRule="exact"/>
        <w:ind w:left="0" w:leftChars="0" w:right="0" w:rightChars="0" w:firstLine="640" w:firstLineChars="200"/>
        <w:textAlignment w:val="auto"/>
        <w:outlineLvl w:val="9"/>
        <w:rPr>
          <w:rFonts w:ascii="仿宋" w:hAnsi="仿宋" w:eastAsia="仿宋"/>
          <w:sz w:val="32"/>
          <w:szCs w:val="32"/>
        </w:rPr>
      </w:pPr>
      <w:r>
        <w:rPr>
          <w:rFonts w:hint="eastAsia" w:ascii="黑体" w:hAnsi="黑体" w:eastAsia="黑体"/>
          <w:sz w:val="32"/>
          <w:szCs w:val="32"/>
        </w:rPr>
        <w:t>三、事业单位经营收入：</w:t>
      </w:r>
      <w:r>
        <w:rPr>
          <w:rFonts w:hint="eastAsia" w:ascii="仿宋" w:hAnsi="仿宋" w:eastAsia="仿宋"/>
          <w:sz w:val="32"/>
          <w:szCs w:val="32"/>
        </w:rPr>
        <w:t>指事业单位在专业业务活动及其辅助活动之外开展非独立核算经营活动取得的收入。</w:t>
      </w:r>
    </w:p>
    <w:p>
      <w:pPr>
        <w:keepNext w:val="0"/>
        <w:keepLines w:val="0"/>
        <w:pageBreakBefore w:val="0"/>
        <w:widowControl w:val="0"/>
        <w:kinsoku/>
        <w:wordWrap/>
        <w:overflowPunct/>
        <w:topLinePunct w:val="0"/>
        <w:bidi w:val="0"/>
        <w:snapToGrid/>
        <w:spacing w:line="576" w:lineRule="exact"/>
        <w:ind w:left="0" w:leftChars="0" w:right="0" w:rightChars="0" w:firstLine="640" w:firstLineChars="200"/>
        <w:textAlignment w:val="auto"/>
        <w:outlineLvl w:val="9"/>
        <w:rPr>
          <w:rFonts w:ascii="仿宋" w:hAnsi="仿宋" w:eastAsia="仿宋"/>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bidi w:val="0"/>
        <w:snapToGrid/>
        <w:spacing w:line="576" w:lineRule="exact"/>
        <w:ind w:left="0" w:leftChars="0" w:right="0" w:rightChars="0" w:firstLine="640" w:firstLineChars="200"/>
        <w:textAlignment w:val="auto"/>
        <w:outlineLvl w:val="9"/>
        <w:rPr>
          <w:rFonts w:ascii="仿宋" w:hAnsi="仿宋" w:eastAsia="仿宋"/>
          <w:sz w:val="32"/>
          <w:szCs w:val="32"/>
        </w:rPr>
      </w:pPr>
      <w:r>
        <w:rPr>
          <w:rFonts w:ascii="黑体" w:hAnsi="黑体" w:eastAsia="黑体"/>
          <w:sz w:val="32"/>
          <w:szCs w:val="32"/>
        </w:rPr>
        <w:t>五</w:t>
      </w:r>
      <w:r>
        <w:rPr>
          <w:rFonts w:hint="eastAsia" w:ascii="黑体" w:hAnsi="黑体" w:eastAsia="黑体"/>
          <w:sz w:val="32"/>
          <w:szCs w:val="32"/>
        </w:rPr>
        <w:t>、其他收入：</w:t>
      </w:r>
      <w:r>
        <w:rPr>
          <w:rFonts w:hint="eastAsia" w:ascii="仿宋" w:hAnsi="仿宋" w:eastAsia="仿宋"/>
          <w:sz w:val="32"/>
          <w:szCs w:val="32"/>
        </w:rPr>
        <w:t>指除上述“一般公共预算拨款收入”、“事业收入”、“事业单位经营收入”等以外的收入。主要是按规定动用的售房收入、存款利息收入等。</w:t>
      </w:r>
    </w:p>
    <w:p>
      <w:pPr>
        <w:keepNext w:val="0"/>
        <w:keepLines w:val="0"/>
        <w:pageBreakBefore w:val="0"/>
        <w:widowControl w:val="0"/>
        <w:kinsoku/>
        <w:wordWrap/>
        <w:overflowPunct/>
        <w:topLinePunct w:val="0"/>
        <w:bidi w:val="0"/>
        <w:snapToGrid/>
        <w:spacing w:line="576" w:lineRule="exact"/>
        <w:ind w:left="0" w:leftChars="0" w:right="0" w:rightChars="0" w:firstLine="640" w:firstLineChars="200"/>
        <w:textAlignment w:val="auto"/>
        <w:outlineLvl w:val="9"/>
        <w:rPr>
          <w:rFonts w:ascii="仿宋" w:hAnsi="仿宋" w:eastAsia="仿宋"/>
          <w:sz w:val="32"/>
          <w:szCs w:val="32"/>
        </w:rPr>
      </w:pPr>
      <w:r>
        <w:rPr>
          <w:rFonts w:hint="eastAsia" w:ascii="黑体" w:hAnsi="黑体" w:eastAsia="黑体"/>
          <w:sz w:val="32"/>
          <w:szCs w:val="32"/>
        </w:rPr>
        <w:t>六、上年结转：</w:t>
      </w:r>
      <w:r>
        <w:rPr>
          <w:rFonts w:hint="eastAsia" w:ascii="仿宋" w:hAnsi="仿宋" w:eastAsia="仿宋"/>
          <w:sz w:val="32"/>
          <w:szCs w:val="32"/>
        </w:rPr>
        <w:t>指以前年度安排、结转到本年仍按原规定用途继续使用的资金。</w:t>
      </w:r>
    </w:p>
    <w:p>
      <w:pPr>
        <w:keepNext w:val="0"/>
        <w:keepLines w:val="0"/>
        <w:pageBreakBefore w:val="0"/>
        <w:widowControl w:val="0"/>
        <w:kinsoku/>
        <w:wordWrap/>
        <w:overflowPunct/>
        <w:topLinePunct w:val="0"/>
        <w:bidi w:val="0"/>
        <w:snapToGrid/>
        <w:spacing w:line="576" w:lineRule="exact"/>
        <w:ind w:left="0" w:leftChars="0" w:right="0" w:rightChars="0" w:firstLine="640" w:firstLineChars="200"/>
        <w:textAlignment w:val="auto"/>
        <w:outlineLvl w:val="9"/>
        <w:rPr>
          <w:rFonts w:ascii="仿宋" w:hAnsi="仿宋" w:eastAsia="仿宋"/>
          <w:sz w:val="32"/>
          <w:szCs w:val="32"/>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重点项目：</w:t>
      </w:r>
      <w:r>
        <w:rPr>
          <w:rFonts w:hint="eastAsia" w:ascii="仿宋" w:hAnsi="仿宋" w:eastAsia="仿宋"/>
          <w:sz w:val="32"/>
          <w:szCs w:val="32"/>
        </w:rPr>
        <w:t>重点项目：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pPr>
        <w:keepNext w:val="0"/>
        <w:keepLines w:val="0"/>
        <w:pageBreakBefore w:val="0"/>
        <w:widowControl w:val="0"/>
        <w:kinsoku/>
        <w:wordWrap/>
        <w:overflowPunct/>
        <w:topLinePunct w:val="0"/>
        <w:autoSpaceDE w:val="0"/>
        <w:autoSpaceDN w:val="0"/>
        <w:bidi w:val="0"/>
        <w:adjustRightInd w:val="0"/>
        <w:snapToGrid/>
        <w:spacing w:line="576" w:lineRule="exact"/>
        <w:ind w:left="0" w:leftChars="0" w:right="0" w:rightChars="0" w:firstLine="640" w:firstLineChars="200"/>
        <w:jc w:val="left"/>
        <w:textAlignment w:val="auto"/>
        <w:outlineLvl w:val="9"/>
        <w:rPr>
          <w:rFonts w:ascii="仿宋_GB2312" w:eastAsia="仿宋_GB2312" w:cs="仿宋_GB2312" w:hAnsiTheme="minorHAnsi"/>
          <w:kern w:val="0"/>
          <w:sz w:val="32"/>
          <w:szCs w:val="32"/>
        </w:rPr>
      </w:pPr>
      <w:r>
        <w:rPr>
          <w:rFonts w:ascii="黑体" w:hAnsi="黑体" w:eastAsia="黑体"/>
          <w:sz w:val="32"/>
          <w:szCs w:val="32"/>
        </w:rPr>
        <w:t>八、基本</w:t>
      </w:r>
      <w:r>
        <w:rPr>
          <w:rFonts w:hint="eastAsia" w:ascii="黑体" w:hAnsi="黑体" w:eastAsia="黑体"/>
          <w:sz w:val="32"/>
          <w:szCs w:val="32"/>
        </w:rPr>
        <w:t>支出：</w:t>
      </w:r>
      <w:r>
        <w:rPr>
          <w:rFonts w:hint="eastAsia" w:ascii="仿宋" w:hAnsi="仿宋" w:eastAsia="仿宋"/>
          <w:sz w:val="32"/>
          <w:szCs w:val="32"/>
        </w:rPr>
        <w:t>指为保障机构正常运转、完成日常工作任务而发生的人员支出和公用支出。</w:t>
      </w:r>
    </w:p>
    <w:p>
      <w:pPr>
        <w:keepNext w:val="0"/>
        <w:keepLines w:val="0"/>
        <w:pageBreakBefore w:val="0"/>
        <w:widowControl w:val="0"/>
        <w:kinsoku/>
        <w:wordWrap/>
        <w:overflowPunct/>
        <w:topLinePunct w:val="0"/>
        <w:autoSpaceDE w:val="0"/>
        <w:autoSpaceDN w:val="0"/>
        <w:bidi w:val="0"/>
        <w:adjustRightInd w:val="0"/>
        <w:snapToGrid/>
        <w:spacing w:line="576" w:lineRule="exact"/>
        <w:ind w:left="0" w:leftChars="0" w:right="0" w:rightChars="0" w:firstLine="640" w:firstLineChars="200"/>
        <w:jc w:val="left"/>
        <w:textAlignment w:val="auto"/>
        <w:outlineLvl w:val="9"/>
        <w:rPr>
          <w:rFonts w:ascii="仿宋" w:hAnsi="仿宋" w:eastAsia="仿宋"/>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pPr>
        <w:keepNext w:val="0"/>
        <w:keepLines w:val="0"/>
        <w:pageBreakBefore w:val="0"/>
        <w:widowControl w:val="0"/>
        <w:kinsoku/>
        <w:wordWrap/>
        <w:overflowPunct/>
        <w:topLinePunct w:val="0"/>
        <w:autoSpaceDE w:val="0"/>
        <w:autoSpaceDN w:val="0"/>
        <w:bidi w:val="0"/>
        <w:adjustRightInd w:val="0"/>
        <w:snapToGrid/>
        <w:spacing w:line="576" w:lineRule="exact"/>
        <w:ind w:left="0" w:leftChars="0" w:right="0" w:rightChars="0" w:firstLine="640" w:firstLineChars="200"/>
        <w:jc w:val="left"/>
        <w:textAlignment w:val="auto"/>
        <w:outlineLvl w:val="9"/>
        <w:rPr>
          <w:rFonts w:hint="eastAsia" w:ascii="仿宋" w:hAnsi="仿宋" w:eastAsia="仿宋"/>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“三公”经费：</w:t>
      </w:r>
      <w:r>
        <w:rPr>
          <w:rFonts w:hint="eastAsia" w:ascii="仿宋" w:hAnsi="仿宋" w:eastAsia="仿宋"/>
          <w:sz w:val="32"/>
          <w:szCs w:val="32"/>
        </w:rPr>
        <w:t>是指安排的因公出国（境）费、公务用车购置及运行维护费和公务接待费。</w:t>
      </w:r>
    </w:p>
    <w:p>
      <w:pPr>
        <w:keepNext w:val="0"/>
        <w:keepLines w:val="0"/>
        <w:pageBreakBefore w:val="0"/>
        <w:widowControl w:val="0"/>
        <w:kinsoku/>
        <w:wordWrap/>
        <w:overflowPunct/>
        <w:topLinePunct w:val="0"/>
        <w:autoSpaceDE w:val="0"/>
        <w:autoSpaceDN w:val="0"/>
        <w:bidi w:val="0"/>
        <w:adjustRightInd w:val="0"/>
        <w:snapToGrid/>
        <w:spacing w:line="576" w:lineRule="exact"/>
        <w:ind w:left="0" w:leftChars="0" w:right="0" w:rightChars="0" w:firstLine="640" w:firstLineChars="200"/>
        <w:jc w:val="left"/>
        <w:textAlignment w:val="auto"/>
        <w:outlineLvl w:val="9"/>
        <w:rPr>
          <w:rFonts w:ascii="仿宋_GB2312" w:eastAsia="仿宋_GB2312" w:cs="仿宋_GB2312" w:hAnsiTheme="minorHAnsi"/>
          <w:kern w:val="0"/>
          <w:sz w:val="32"/>
          <w:szCs w:val="32"/>
        </w:rPr>
      </w:pPr>
      <w:r>
        <w:rPr>
          <w:rFonts w:hint="eastAsia" w:ascii="黑体" w:hAnsi="黑体" w:eastAsia="黑体"/>
          <w:sz w:val="32"/>
          <w:szCs w:val="32"/>
        </w:rPr>
        <w:t>十</w:t>
      </w:r>
      <w:r>
        <w:rPr>
          <w:rFonts w:hint="eastAsia" w:ascii="黑体" w:hAnsi="黑体" w:eastAsia="黑体"/>
          <w:sz w:val="32"/>
          <w:szCs w:val="32"/>
          <w:lang w:val="en-US" w:eastAsia="zh-CN"/>
        </w:rPr>
        <w:t>一</w:t>
      </w:r>
      <w:r>
        <w:rPr>
          <w:rFonts w:ascii="黑体" w:hAnsi="黑体" w:eastAsia="黑体"/>
          <w:sz w:val="32"/>
          <w:szCs w:val="32"/>
        </w:rPr>
        <w:t>、</w:t>
      </w:r>
      <w:r>
        <w:rPr>
          <w:rFonts w:hint="eastAsia" w:ascii="黑体" w:hAnsi="黑体" w:eastAsia="黑体"/>
          <w:sz w:val="32"/>
          <w:szCs w:val="32"/>
        </w:rPr>
        <w:t>事业单位经营支出：</w:t>
      </w:r>
      <w:r>
        <w:rPr>
          <w:rFonts w:hint="eastAsia" w:ascii="仿宋" w:hAnsi="仿宋" w:eastAsia="仿宋"/>
          <w:sz w:val="32"/>
          <w:szCs w:val="32"/>
        </w:rPr>
        <w:t>指事业单位在专业业务活动及其辅助活动之外开展非独立核算经营活动发生的支出。</w:t>
      </w:r>
    </w:p>
    <w:p>
      <w:pPr>
        <w:keepNext w:val="0"/>
        <w:keepLines w:val="0"/>
        <w:pageBreakBefore w:val="0"/>
        <w:widowControl w:val="0"/>
        <w:kinsoku/>
        <w:wordWrap/>
        <w:overflowPunct/>
        <w:topLinePunct w:val="0"/>
        <w:bidi w:val="0"/>
        <w:snapToGrid/>
        <w:spacing w:line="576" w:lineRule="exact"/>
        <w:ind w:left="0" w:leftChars="0" w:right="0" w:rightChars="0" w:firstLine="640" w:firstLineChars="200"/>
        <w:textAlignment w:val="auto"/>
        <w:outlineLvl w:val="9"/>
        <w:rPr>
          <w:rFonts w:ascii="仿宋" w:hAnsi="仿宋" w:eastAsia="仿宋"/>
          <w:sz w:val="32"/>
          <w:szCs w:val="32"/>
        </w:rPr>
      </w:pPr>
    </w:p>
    <w:p>
      <w:pPr>
        <w:keepNext w:val="0"/>
        <w:keepLines w:val="0"/>
        <w:pageBreakBefore w:val="0"/>
        <w:widowControl w:val="0"/>
        <w:kinsoku/>
        <w:wordWrap/>
        <w:overflowPunct/>
        <w:topLinePunct w:val="0"/>
        <w:bidi w:val="0"/>
        <w:snapToGrid/>
        <w:spacing w:line="576" w:lineRule="exact"/>
        <w:ind w:left="0" w:leftChars="0" w:right="0" w:rightChars="0" w:firstLine="640" w:firstLineChars="200"/>
        <w:textAlignment w:val="auto"/>
        <w:outlineLvl w:val="9"/>
        <w:rPr>
          <w:rFonts w:ascii="仿宋" w:hAnsi="仿宋" w:eastAsia="仿宋"/>
          <w:sz w:val="32"/>
          <w:szCs w:val="32"/>
        </w:rPr>
      </w:pPr>
    </w:p>
    <w:p>
      <w:pPr>
        <w:keepNext w:val="0"/>
        <w:keepLines w:val="0"/>
        <w:pageBreakBefore w:val="0"/>
        <w:widowControl w:val="0"/>
        <w:kinsoku/>
        <w:wordWrap/>
        <w:overflowPunct/>
        <w:topLinePunct w:val="0"/>
        <w:bidi w:val="0"/>
        <w:snapToGrid/>
        <w:spacing w:line="576" w:lineRule="exact"/>
        <w:ind w:left="0" w:leftChars="0" w:right="0" w:rightChars="0" w:firstLine="640" w:firstLineChars="200"/>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w:t>
      </w:r>
    </w:p>
    <w:p>
      <w:pPr>
        <w:keepNext w:val="0"/>
        <w:keepLines w:val="0"/>
        <w:pageBreakBefore w:val="0"/>
        <w:widowControl w:val="0"/>
        <w:kinsoku/>
        <w:wordWrap/>
        <w:overflowPunct/>
        <w:topLinePunct w:val="0"/>
        <w:bidi w:val="0"/>
        <w:snapToGrid/>
        <w:spacing w:line="576" w:lineRule="exact"/>
        <w:ind w:right="0" w:rightChars="0"/>
        <w:jc w:val="right"/>
        <w:textAlignment w:val="auto"/>
        <w:outlineLvl w:val="9"/>
        <w:rPr>
          <w:rFonts w:hint="eastAsia" w:ascii="仿宋" w:hAnsi="仿宋" w:eastAsia="仿宋"/>
          <w:sz w:val="32"/>
          <w:szCs w:val="32"/>
          <w:lang w:eastAsia="zh-CN"/>
        </w:rPr>
      </w:pPr>
      <w:r>
        <w:rPr>
          <w:rFonts w:hint="eastAsia" w:ascii="仿宋" w:hAnsi="仿宋" w:eastAsia="仿宋"/>
          <w:sz w:val="32"/>
          <w:szCs w:val="32"/>
          <w:lang w:eastAsia="zh-CN"/>
        </w:rPr>
        <w:t>那曲市公安局</w:t>
      </w:r>
      <w:r>
        <w:rPr>
          <w:rFonts w:hint="eastAsia" w:ascii="仿宋" w:hAnsi="仿宋" w:eastAsia="仿宋"/>
          <w:sz w:val="32"/>
          <w:szCs w:val="32"/>
          <w:lang w:val="en-US" w:eastAsia="zh-CN"/>
        </w:rPr>
        <w:t>交警支队</w:t>
      </w:r>
    </w:p>
    <w:p>
      <w:pPr>
        <w:keepNext w:val="0"/>
        <w:keepLines w:val="0"/>
        <w:pageBreakBefore w:val="0"/>
        <w:widowControl w:val="0"/>
        <w:kinsoku/>
        <w:wordWrap/>
        <w:overflowPunct/>
        <w:topLinePunct w:val="0"/>
        <w:bidi w:val="0"/>
        <w:snapToGrid/>
        <w:spacing w:line="576" w:lineRule="exact"/>
        <w:ind w:left="0" w:leftChars="0" w:right="0" w:rightChars="0" w:firstLine="640" w:firstLineChars="200"/>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2026年2月10日</w:t>
      </w:r>
    </w:p>
    <w:sectPr>
      <w:headerReference r:id="rId3" w:type="default"/>
      <w:footerReference r:id="rId4" w:type="default"/>
      <w:footerReference r:id="rId5" w:type="even"/>
      <w:pgSz w:w="11906" w:h="16838"/>
      <w:pgMar w:top="2098" w:right="1474" w:bottom="1984" w:left="1587"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方正黑体简体">
    <w:altName w:val="微软雅黑"/>
    <w:panose1 w:val="03000509000000000000"/>
    <w:charset w:val="86"/>
    <w:family w:val="auto"/>
    <w:pitch w:val="default"/>
    <w:sig w:usb0="00000000" w:usb1="00000000" w:usb2="00000000" w:usb3="00000000" w:csb0="00040000" w:csb1="00000000"/>
  </w:font>
  <w:font w:name="方正黑体_GBK">
    <w:altName w:val="微软雅黑"/>
    <w:panose1 w:val="020F0500000000000000"/>
    <w:charset w:val="86"/>
    <w:family w:val="auto"/>
    <w:pitch w:val="default"/>
    <w:sig w:usb0="00000000" w:usb1="00000000" w:usb2="00000012"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方正准圆简体">
    <w:altName w:val="宋体"/>
    <w:panose1 w:val="03000509000000000000"/>
    <w:charset w:val="86"/>
    <w:family w:val="auto"/>
    <w:pitch w:val="default"/>
    <w:sig w:usb0="00000000" w:usb1="00000000" w:usb2="00000000" w:usb3="00000000" w:csb0="00040000" w:csb1="00000000"/>
  </w:font>
  <w:font w:name="方正硬笔行书繁体">
    <w:altName w:val="宋体"/>
    <w:panose1 w:val="03000509000000000000"/>
    <w:charset w:val="86"/>
    <w:family w:val="auto"/>
    <w:pitch w:val="default"/>
    <w:sig w:usb0="00000000" w:usb1="00000000" w:usb2="00000000" w:usb3="00000000" w:csb0="00040000" w:csb1="00000000"/>
  </w:font>
  <w:font w:name="方正粗活意繁体">
    <w:altName w:val="宋体"/>
    <w:panose1 w:val="03000509000000000000"/>
    <w:charset w:val="86"/>
    <w:family w:val="auto"/>
    <w:pitch w:val="default"/>
    <w:sig w:usb0="00000000" w:usb1="00000000" w:usb2="00000000" w:usb3="00000000" w:csb0="00040000" w:csb1="00000000"/>
  </w:font>
  <w:font w:name="方正粗活意简体">
    <w:altName w:val="宋体"/>
    <w:panose1 w:val="03000509000000000000"/>
    <w:charset w:val="86"/>
    <w:family w:val="auto"/>
    <w:pitch w:val="default"/>
    <w:sig w:usb0="00000000" w:usb1="00000000" w:usb2="00000000" w:usb3="00000000" w:csb0="00040000" w:csb1="00000000"/>
  </w:font>
  <w:font w:name="方正粗圆简体">
    <w:altName w:val="宋体"/>
    <w:panose1 w:val="03000509000000000000"/>
    <w:charset w:val="86"/>
    <w:family w:val="auto"/>
    <w:pitch w:val="default"/>
    <w:sig w:usb0="00000000" w:usb1="00000000" w:usb2="00000000" w:usb3="00000000" w:csb0="00040000" w:csb1="00000000"/>
  </w:font>
  <w:font w:name="方正粗倩_GBK">
    <w:altName w:val="宋体"/>
    <w:panose1 w:val="03000509000000000000"/>
    <w:charset w:val="86"/>
    <w:family w:val="auto"/>
    <w:pitch w:val="default"/>
    <w:sig w:usb0="00000000" w:usb1="00000000" w:usb2="00000000" w:usb3="00000000" w:csb0="00040000" w:csb1="00000000"/>
  </w:font>
  <w:font w:name="方正报宋_GBK">
    <w:altName w:val="宋体"/>
    <w:panose1 w:val="03000509000000000000"/>
    <w:charset w:val="86"/>
    <w:family w:val="auto"/>
    <w:pitch w:val="default"/>
    <w:sig w:usb0="00000000" w:usb1="00000000" w:usb2="00000000" w:usb3="00000000" w:csb0="00040000" w:csb1="00000000"/>
  </w:font>
  <w:font w:name="方正报宋繁体">
    <w:altName w:val="宋体"/>
    <w:panose1 w:val="02010601030101010101"/>
    <w:charset w:val="86"/>
    <w:family w:val="auto"/>
    <w:pitch w:val="default"/>
    <w:sig w:usb0="00000000" w:usb1="00000000" w:usb2="00000000" w:usb3="00000000" w:csb0="00040000" w:csb1="00000000"/>
  </w:font>
  <w:font w:name="方正新秀丽繁体">
    <w:altName w:val="宋体"/>
    <w:panose1 w:val="02010601030101010101"/>
    <w:charset w:val="86"/>
    <w:family w:val="auto"/>
    <w:pitch w:val="default"/>
    <w:sig w:usb0="00000000" w:usb1="00000000" w:usb2="00000000" w:usb3="00000000" w:csb0="00040000" w:csb1="00000000"/>
  </w:font>
  <w:font w:name="方正魏碑繁体">
    <w:altName w:val="宋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叶根友毛笔行书2.0版">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中倩简体">
    <w:altName w:val="宋体"/>
    <w:panose1 w:val="03000509000000000000"/>
    <w:charset w:val="86"/>
    <w:family w:val="auto"/>
    <w:pitch w:val="default"/>
    <w:sig w:usb0="00000000" w:usb1="00000000" w:usb2="00000000" w:usb3="00000000" w:csb0="00040000" w:csb1="00000000"/>
  </w:font>
  <w:font w:name="方正中等线简体">
    <w:altName w:val="宋体"/>
    <w:panose1 w:val="03000509000000000000"/>
    <w:charset w:val="86"/>
    <w:family w:val="auto"/>
    <w:pitch w:val="default"/>
    <w:sig w:usb0="00000000" w:usb1="00000000" w:usb2="00000000" w:usb3="00000000" w:csb0="00040000" w:csb1="00000000"/>
  </w:font>
  <w:font w:name="方正书宋简体">
    <w:altName w:val="宋体"/>
    <w:panose1 w:val="03000509000000000000"/>
    <w:charset w:val="86"/>
    <w:family w:val="auto"/>
    <w:pitch w:val="default"/>
    <w:sig w:usb0="00000000" w:usb1="00000000" w:usb2="00000000" w:usb3="00000000" w:csb0="00040000" w:csb1="00000000"/>
  </w:font>
  <w:font w:name="方正北魏楷书简体">
    <w:altName w:val="宋体"/>
    <w:panose1 w:val="03000509000000000000"/>
    <w:charset w:val="86"/>
    <w:family w:val="auto"/>
    <w:pitch w:val="default"/>
    <w:sig w:usb0="00000000" w:usb1="00000000" w:usb2="00000000" w:usb3="00000000" w:csb0="00040000" w:csb1="00000000"/>
  </w:font>
  <w:font w:name="方正北魏楷书繁体">
    <w:altName w:val="宋体"/>
    <w:panose1 w:val="03000509000000000000"/>
    <w:charset w:val="86"/>
    <w:family w:val="auto"/>
    <w:pitch w:val="default"/>
    <w:sig w:usb0="00000000" w:usb1="00000000" w:usb2="00000000" w:usb3="00000000" w:csb0="00040000" w:csb1="00000000"/>
  </w:font>
  <w:font w:name="方正华隶简体">
    <w:altName w:val="宋体"/>
    <w:panose1 w:val="03000509000000000000"/>
    <w:charset w:val="86"/>
    <w:family w:val="auto"/>
    <w:pitch w:val="default"/>
    <w:sig w:usb0="00000000" w:usb1="00000000" w:usb2="00000000" w:usb3="00000000" w:csb0="00040000" w:csb1="00000000"/>
  </w:font>
  <w:font w:name="方正华隶繁体">
    <w:altName w:val="宋体"/>
    <w:panose1 w:val="03000509000000000000"/>
    <w:charset w:val="86"/>
    <w:family w:val="auto"/>
    <w:pitch w:val="default"/>
    <w:sig w:usb0="00000000" w:usb1="00000000" w:usb2="00000000" w:usb3="00000000" w:csb0="00040000" w:csb1="00000000"/>
  </w:font>
  <w:font w:name="方正卡通简体">
    <w:altName w:val="宋体"/>
    <w:panose1 w:val="03000509000000000000"/>
    <w:charset w:val="86"/>
    <w:family w:val="auto"/>
    <w:pitch w:val="default"/>
    <w:sig w:usb0="00000000" w:usb1="00000000" w:usb2="00000000" w:usb3="00000000" w:csb0="00040000" w:csb1="00000000"/>
  </w:font>
  <w:font w:name="方正大标宋繁体">
    <w:altName w:val="宋体"/>
    <w:panose1 w:val="02010601030101010101"/>
    <w:charset w:val="86"/>
    <w:family w:val="auto"/>
    <w:pitch w:val="default"/>
    <w:sig w:usb0="00000000" w:usb1="00000000" w:usb2="00000000" w:usb3="00000000" w:csb0="00040000" w:csb1="00000000"/>
  </w:font>
  <w:font w:name="方正小篆体">
    <w:altName w:val="宋体"/>
    <w:panose1 w:val="03000509000000000000"/>
    <w:charset w:val="86"/>
    <w:family w:val="auto"/>
    <w:pitch w:val="default"/>
    <w:sig w:usb0="00000000" w:usb1="00000000" w:usb2="00000000" w:usb3="00000000" w:csb0="00040000" w:csb1="00000000"/>
  </w:font>
  <w:font w:name="方正彩云_GBK">
    <w:altName w:val="宋体"/>
    <w:panose1 w:val="03000509000000000000"/>
    <w:charset w:val="86"/>
    <w:family w:val="auto"/>
    <w:pitch w:val="default"/>
    <w:sig w:usb0="00000000" w:usb1="0000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琥珀简体">
    <w:altName w:val="微软雅黑"/>
    <w:panose1 w:val="03000509000000000000"/>
    <w:charset w:val="86"/>
    <w:family w:val="auto"/>
    <w:pitch w:val="default"/>
    <w:sig w:usb0="00000000" w:usb1="00000000" w:usb2="00000000" w:usb3="00000000" w:csb0="00040000" w:csb1="00000000"/>
  </w:font>
  <w:font w:name="方正超粗黑_GBK">
    <w:altName w:val="黑体"/>
    <w:panose1 w:val="03000509000000000000"/>
    <w:charset w:val="86"/>
    <w:family w:val="auto"/>
    <w:pitch w:val="default"/>
    <w:sig w:usb0="00000000" w:usb1="00000000" w:usb2="00000000" w:usb3="00000000" w:csb0="00040000" w:csb1="00000000"/>
  </w:font>
  <w:font w:name="方正魏碑简体">
    <w:altName w:val="微软雅黑"/>
    <w:panose1 w:val="02010601030101010101"/>
    <w:charset w:val="86"/>
    <w:family w:val="auto"/>
    <w:pitch w:val="default"/>
    <w:sig w:usb0="00000000" w:usb1="00000000" w:usb2="00000000" w:usb3="00000000" w:csb0="00040000" w:csb1="00000000"/>
  </w:font>
  <w:font w:name="Batang">
    <w:altName w:val="Malgun Gothic"/>
    <w:panose1 w:val="02030600000101010101"/>
    <w:charset w:val="81"/>
    <w:family w:val="auto"/>
    <w:pitch w:val="default"/>
    <w:sig w:usb0="00000000" w:usb1="00000000" w:usb2="00000030" w:usb3="00000000" w:csb0="4008009F" w:csb1="DFD70000"/>
  </w:font>
  <w:font w:name="BatangChe">
    <w:altName w:val="Malgun Gothic"/>
    <w:panose1 w:val="02030609000101010101"/>
    <w:charset w:val="81"/>
    <w:family w:val="auto"/>
    <w:pitch w:val="default"/>
    <w:sig w:usb0="00000000" w:usb1="00000000" w:usb2="00000030" w:usb3="00000000" w:csb0="4008009F" w:csb1="DFD70000"/>
  </w:font>
  <w:font w:name="DFKai-SB">
    <w:altName w:val="MingLiU-ExtB"/>
    <w:panose1 w:val="03000509000000000000"/>
    <w:charset w:val="88"/>
    <w:family w:val="auto"/>
    <w:pitch w:val="default"/>
    <w:sig w:usb0="00000000" w:usb1="00000000" w:usb2="00000016" w:usb3="00000000" w:csb0="00100001" w:csb1="00000000"/>
  </w:font>
  <w:font w:name="GungsuhChe">
    <w:altName w:val="Malgun Gothic"/>
    <w:panose1 w:val="02030609000101010101"/>
    <w:charset w:val="81"/>
    <w:family w:val="auto"/>
    <w:pitch w:val="default"/>
    <w:sig w:usb0="00000000" w:usb1="00000000" w:usb2="00000030" w:usb3="00000000" w:csb0="4008009F" w:csb1="DFD70000"/>
  </w:font>
  <w:font w:name="Gungsuh">
    <w:altName w:val="Malgun Gothic"/>
    <w:panose1 w:val="02030600000101010101"/>
    <w:charset w:val="81"/>
    <w:family w:val="auto"/>
    <w:pitch w:val="default"/>
    <w:sig w:usb0="00000000" w:usb1="00000000" w:usb2="00000030" w:usb3="00000000" w:csb0="4008009F" w:csb1="DFD70000"/>
  </w:font>
  <w:font w:name="hakuyoxingshu7000">
    <w:altName w:val="宋体"/>
    <w:panose1 w:val="02000600000000000000"/>
    <w:charset w:val="86"/>
    <w:family w:val="auto"/>
    <w:pitch w:val="default"/>
    <w:sig w:usb0="00000000" w:usb1="00000000" w:usb2="0000003F" w:usb3="00000000" w:csb0="603F00FF" w:csb1="FFFF0000"/>
  </w:font>
  <w:font w:name="KYIG">
    <w:altName w:val="宋体"/>
    <w:panose1 w:val="02010600030101010101"/>
    <w:charset w:val="86"/>
    <w:family w:val="auto"/>
    <w:pitch w:val="default"/>
    <w:sig w:usb0="00000000" w:usb1="00000000" w:usb2="00000000" w:usb3="00000000" w:csb0="00040001" w:csb1="00000000"/>
  </w:font>
  <w:font w:name="Malgun Gothic">
    <w:panose1 w:val="020B0503020000020004"/>
    <w:charset w:val="81"/>
    <w:family w:val="auto"/>
    <w:pitch w:val="default"/>
    <w:sig w:usb0="9000002F" w:usb1="29D77CFB" w:usb2="00000012" w:usb3="00000000" w:csb0="00080001" w:csb1="00000000"/>
  </w:font>
  <w:font w:name="Meiryo">
    <w:altName w:val="Yu Gothic UI"/>
    <w:panose1 w:val="020B0604030504040204"/>
    <w:charset w:val="80"/>
    <w:family w:val="auto"/>
    <w:pitch w:val="default"/>
    <w:sig w:usb0="00000000" w:usb1="00000000" w:usb2="00010012" w:usb3="00000000" w:csb0="6002009F" w:csb1="DFD70000"/>
  </w:font>
  <w:font w:name="Meiryo UI">
    <w:altName w:val="Yu Gothic UI"/>
    <w:panose1 w:val="020B0604030504040204"/>
    <w:charset w:val="80"/>
    <w:family w:val="auto"/>
    <w:pitch w:val="default"/>
    <w:sig w:usb0="00000000" w:usb1="00000000" w:usb2="00010012" w:usb3="00000000" w:csb0="6002009F" w:csb1="DFD70000"/>
  </w:font>
  <w:font w:name="Microsoft JhengHei">
    <w:panose1 w:val="020B0604030504040204"/>
    <w:charset w:val="88"/>
    <w:family w:val="auto"/>
    <w:pitch w:val="default"/>
    <w:sig w:usb0="000002A7" w:usb1="28CF4400" w:usb2="00000016" w:usb3="00000000" w:csb0="00100009" w:csb1="00000000"/>
  </w:font>
  <w:font w:name="MingLiU_HKSCS-ExtB">
    <w:panose1 w:val="02020500000000000000"/>
    <w:charset w:val="88"/>
    <w:family w:val="auto"/>
    <w:pitch w:val="default"/>
    <w:sig w:usb0="8000002F" w:usb1="02000008" w:usb2="00000000" w:usb3="00000000" w:csb0="00100001" w:csb1="00000000"/>
  </w:font>
  <w:font w:name="MS UI Gothic">
    <w:panose1 w:val="020B0600070205080204"/>
    <w:charset w:val="80"/>
    <w:family w:val="auto"/>
    <w:pitch w:val="default"/>
    <w:sig w:usb0="E00002FF" w:usb1="6AC7FDFB" w:usb2="08000012" w:usb3="00000000" w:csb0="4002009F" w:csb1="DFD70000"/>
  </w:font>
  <w:font w:name="SimSun-ExtB">
    <w:panose1 w:val="02010609060101010101"/>
    <w:charset w:val="86"/>
    <w:family w:val="auto"/>
    <w:pitch w:val="default"/>
    <w:sig w:usb0="00000001" w:usb1="02000000" w:usb2="00000000" w:usb3="00000000" w:csb0="00040001" w:csb1="00000000"/>
  </w:font>
  <w:font w:name="Aharoni">
    <w:altName w:val="Yu Gothic UI Semibold"/>
    <w:panose1 w:val="02010803020104030203"/>
    <w:charset w:val="00"/>
    <w:family w:val="auto"/>
    <w:pitch w:val="default"/>
    <w:sig w:usb0="00000000" w:usb1="00000000" w:usb2="00000000" w:usb3="00000000" w:csb0="00000020" w:csb1="00200000"/>
  </w:font>
  <w:font w:name="Browallia New">
    <w:altName w:val="Segoe Print"/>
    <w:panose1 w:val="020B0604020202020204"/>
    <w:charset w:val="00"/>
    <w:family w:val="auto"/>
    <w:pitch w:val="default"/>
    <w:sig w:usb0="00000000" w:usb1="00000000" w:usb2="00000000" w:usb3="00000000" w:csb0="00010001" w:csb1="00000000"/>
  </w:font>
  <w:font w:name="Candara">
    <w:panose1 w:val="020E0502030303020204"/>
    <w:charset w:val="00"/>
    <w:family w:val="auto"/>
    <w:pitch w:val="default"/>
    <w:sig w:usb0="A00002EF" w:usb1="4000A44B" w:usb2="00000000" w:usb3="00000000" w:csb0="2000019F" w:csb1="00000000"/>
  </w:font>
  <w:font w:name="Consolas">
    <w:panose1 w:val="020B0609020204030204"/>
    <w:charset w:val="00"/>
    <w:family w:val="auto"/>
    <w:pitch w:val="default"/>
    <w:sig w:usb0="E00006FF" w:usb1="0000FCFF" w:usb2="00000001" w:usb3="00000000" w:csb0="6000019F" w:csb1="DFD70000"/>
  </w:font>
  <w:font w:name="Corbel">
    <w:panose1 w:val="020B0503020204020204"/>
    <w:charset w:val="00"/>
    <w:family w:val="auto"/>
    <w:pitch w:val="default"/>
    <w:sig w:usb0="A00002EF" w:usb1="4000A44B" w:usb2="00000000" w:usb3="00000000" w:csb0="2000019F" w:csb1="00000000"/>
  </w:font>
  <w:font w:name="Cordia New">
    <w:altName w:val="Yu Gothic UI Light"/>
    <w:panose1 w:val="020B0304020202020204"/>
    <w:charset w:val="00"/>
    <w:family w:val="auto"/>
    <w:pitch w:val="default"/>
    <w:sig w:usb0="00000000" w:usb1="00000000" w:usb2="00000000" w:usb3="00000000" w:csb0="00010001" w:csb1="00000000"/>
  </w:font>
  <w:font w:name="Courier New">
    <w:panose1 w:val="02070309020205020404"/>
    <w:charset w:val="00"/>
    <w:family w:val="auto"/>
    <w:pitch w:val="default"/>
    <w:sig w:usb0="E0002EFF" w:usb1="C0007843" w:usb2="00000009" w:usb3="00000000" w:csb0="400001FF" w:csb1="FFFF0000"/>
  </w:font>
  <w:font w:name="Ebrima">
    <w:panose1 w:val="02000000000000000000"/>
    <w:charset w:val="00"/>
    <w:family w:val="auto"/>
    <w:pitch w:val="default"/>
    <w:sig w:usb0="A000505F" w:usb1="02000041" w:usb2="00000800" w:usb3="00000404" w:csb0="00000093" w:csb1="00000000"/>
  </w:font>
  <w:font w:name="Franklin Gothic Medium">
    <w:panose1 w:val="020B0603020102020204"/>
    <w:charset w:val="00"/>
    <w:family w:val="auto"/>
    <w:pitch w:val="default"/>
    <w:sig w:usb0="00000287" w:usb1="00000000" w:usb2="00000000" w:usb3="00000000" w:csb0="2000009F" w:csb1="DFD70000"/>
  </w:font>
  <w:font w:name="Gisha">
    <w:altName w:val="Segoe UI Symbol"/>
    <w:panose1 w:val="020B0502040204020203"/>
    <w:charset w:val="00"/>
    <w:family w:val="auto"/>
    <w:pitch w:val="default"/>
    <w:sig w:usb0="00000000" w:usb1="00000000" w:usb2="00000000" w:usb3="00000000" w:csb0="00000021" w:csb1="00000000"/>
  </w:font>
  <w:font w:name="Himalaya-E">
    <w:altName w:val="Microsoft Himalaya"/>
    <w:panose1 w:val="01010100010101010101"/>
    <w:charset w:val="00"/>
    <w:family w:val="auto"/>
    <w:pitch w:val="default"/>
    <w:sig w:usb0="00000000" w:usb1="00000000" w:usb2="00000040" w:usb3="00000000" w:csb0="00000001" w:csb1="00000000"/>
  </w:font>
  <w:font w:name="Latha">
    <w:altName w:val="Segoe Print"/>
    <w:panose1 w:val="020B0604020202020204"/>
    <w:charset w:val="00"/>
    <w:family w:val="auto"/>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Lucida Sans Unicode">
    <w:panose1 w:val="020B0602030504020204"/>
    <w:charset w:val="00"/>
    <w:family w:val="auto"/>
    <w:pitch w:val="default"/>
    <w:sig w:usb0="80001AFF" w:usb1="0000396B" w:usb2="00000000" w:usb3="00000000" w:csb0="200000BF" w:csb1="D7F70000"/>
  </w:font>
  <w:font w:name="Mangal">
    <w:altName w:val="Segoe Print"/>
    <w:panose1 w:val="02040503050203030202"/>
    <w:charset w:val="00"/>
    <w:family w:val="auto"/>
    <w:pitch w:val="default"/>
    <w:sig w:usb0="00000000" w:usb1="00000000" w:usb2="00000000" w:usb3="00000000" w:csb0="00000001" w:csb1="00000000"/>
  </w:font>
  <w:font w:name="方正硬笔行书简体">
    <w:altName w:val="宋体"/>
    <w:panose1 w:val="03000509000000000000"/>
    <w:charset w:val="86"/>
    <w:family w:val="auto"/>
    <w:pitch w:val="default"/>
    <w:sig w:usb0="00000000" w:usb1="00000000" w:usb2="00000000" w:usb3="00000000" w:csb0="00040000" w:csb1="00000000"/>
  </w:font>
  <w:font w:name="方正硬笔楷书繁体">
    <w:altName w:val="宋体"/>
    <w:panose1 w:val="03000509000000000000"/>
    <w:charset w:val="86"/>
    <w:family w:val="auto"/>
    <w:pitch w:val="default"/>
    <w:sig w:usb0="00000000" w:usb1="00000000" w:usb2="00000000" w:usb3="00000000" w:csb0="00040000" w:csb1="00000000"/>
  </w:font>
  <w:font w:name="方正硬笔楷书简体">
    <w:altName w:val="宋体"/>
    <w:panose1 w:val="03000509000000000000"/>
    <w:charset w:val="86"/>
    <w:family w:val="auto"/>
    <w:pitch w:val="default"/>
    <w:sig w:usb0="00000000" w:usb1="00000000" w:usb2="00000000" w:usb3="00000000" w:csb0="00040000" w:csb1="00000000"/>
  </w:font>
  <w:font w:name="MingLiU-ExtB">
    <w:panose1 w:val="02020500000000000000"/>
    <w:charset w:val="88"/>
    <w:family w:val="auto"/>
    <w:pitch w:val="default"/>
    <w:sig w:usb0="8000002F" w:usb1="02000008" w:usb2="00000000" w:usb3="00000000" w:csb0="00100001" w:csb1="00000000"/>
  </w:font>
  <w:font w:name="Yu Gothic UI Semibold">
    <w:panose1 w:val="020B07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Yu Gothic UI Light">
    <w:panose1 w:val="020B0300000000000000"/>
    <w:charset w:val="80"/>
    <w:family w:val="auto"/>
    <w:pitch w:val="default"/>
    <w:sig w:usb0="E00002FF" w:usb1="2AC7FDFF" w:usb2="00000016" w:usb3="00000000" w:csb0="2002009F" w:csb1="00000000"/>
  </w:font>
  <w:font w:name="Segoe UI Symbol">
    <w:panose1 w:val="020B0502040204020203"/>
    <w:charset w:val="00"/>
    <w:family w:val="auto"/>
    <w:pitch w:val="default"/>
    <w:sig w:usb0="800001E3" w:usb1="1200FFEF" w:usb2="00040000" w:usb3="04000000" w:csb0="00000001" w:csb1="40000000"/>
  </w:font>
  <w:font w:name="Yu Gothic UI">
    <w:panose1 w:val="020B0500000000000000"/>
    <w:charset w:val="80"/>
    <w:family w:val="auto"/>
    <w:pitch w:val="default"/>
    <w:sig w:usb0="E00002FF" w:usb1="2AC7FDFF" w:usb2="00000016" w:usb3="00000000" w:csb0="2002009F" w:csb1="00000000"/>
  </w:font>
  <w:font w:name="Microsoft Himalaya">
    <w:panose1 w:val="01010100010101010101"/>
    <w:charset w:val="00"/>
    <w:family w:val="auto"/>
    <w:pitch w:val="default"/>
    <w:sig w:usb0="80000003" w:usb1="00010000" w:usb2="00000040" w:usb3="00000000" w:csb0="00000001" w:csb1="00000000"/>
  </w:font>
  <w:font w:name="方正楷体简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Fonts w:ascii="宋体" w:hAnsi="宋体" w:eastAsia="宋体"/>
        <w:sz w:val="24"/>
        <w:szCs w:val="24"/>
      </w:rPr>
    </w:pPr>
    <w:r>
      <w:rPr>
        <w:rStyle w:val="6"/>
        <w:rFonts w:ascii="宋体" w:hAnsi="宋体" w:eastAsia="宋体"/>
        <w:sz w:val="24"/>
        <w:szCs w:val="24"/>
      </w:rPr>
      <w:fldChar w:fldCharType="begin"/>
    </w:r>
    <w:r>
      <w:rPr>
        <w:rStyle w:val="6"/>
        <w:rFonts w:ascii="宋体" w:hAnsi="宋体" w:eastAsia="宋体"/>
        <w:sz w:val="24"/>
        <w:szCs w:val="24"/>
      </w:rPr>
      <w:instrText xml:space="preserve">PAGE  </w:instrText>
    </w:r>
    <w:r>
      <w:rPr>
        <w:rStyle w:val="6"/>
        <w:rFonts w:ascii="宋体" w:hAnsi="宋体" w:eastAsia="宋体"/>
        <w:sz w:val="24"/>
        <w:szCs w:val="24"/>
      </w:rPr>
      <w:fldChar w:fldCharType="separate"/>
    </w:r>
    <w:r>
      <w:rPr>
        <w:rStyle w:val="6"/>
        <w:rFonts w:ascii="宋体" w:hAnsi="宋体" w:eastAsia="宋体"/>
        <w:sz w:val="24"/>
        <w:szCs w:val="24"/>
      </w:rPr>
      <w:t>- 3 -</w:t>
    </w:r>
    <w:r>
      <w:rPr>
        <w:rStyle w:val="6"/>
        <w:rFonts w:ascii="宋体" w:hAnsi="宋体" w:eastAsia="宋体"/>
        <w:sz w:val="24"/>
        <w:szCs w:val="24"/>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C1AAF9"/>
    <w:multiLevelType w:val="singleLevel"/>
    <w:tmpl w:val="65C1AAF9"/>
    <w:lvl w:ilvl="0" w:tentative="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004"/>
    <w:rsid w:val="00006EF3"/>
    <w:rsid w:val="00010911"/>
    <w:rsid w:val="0001296C"/>
    <w:rsid w:val="00015A4C"/>
    <w:rsid w:val="000214DB"/>
    <w:rsid w:val="00023250"/>
    <w:rsid w:val="00025C9A"/>
    <w:rsid w:val="000336AD"/>
    <w:rsid w:val="00041C59"/>
    <w:rsid w:val="00043A5F"/>
    <w:rsid w:val="00043AA8"/>
    <w:rsid w:val="00074F66"/>
    <w:rsid w:val="00086B54"/>
    <w:rsid w:val="00086C47"/>
    <w:rsid w:val="000941A1"/>
    <w:rsid w:val="000944A2"/>
    <w:rsid w:val="00096F91"/>
    <w:rsid w:val="000A09B9"/>
    <w:rsid w:val="000A0C03"/>
    <w:rsid w:val="000A1AFA"/>
    <w:rsid w:val="000A2246"/>
    <w:rsid w:val="000A6427"/>
    <w:rsid w:val="000A7168"/>
    <w:rsid w:val="000A7A82"/>
    <w:rsid w:val="000B07BA"/>
    <w:rsid w:val="000D1A92"/>
    <w:rsid w:val="000D214F"/>
    <w:rsid w:val="000E0307"/>
    <w:rsid w:val="000E239A"/>
    <w:rsid w:val="000E347B"/>
    <w:rsid w:val="000F0C56"/>
    <w:rsid w:val="000F293F"/>
    <w:rsid w:val="001018BC"/>
    <w:rsid w:val="001038F8"/>
    <w:rsid w:val="00104EB8"/>
    <w:rsid w:val="00105104"/>
    <w:rsid w:val="001054EF"/>
    <w:rsid w:val="00115B1A"/>
    <w:rsid w:val="001162B6"/>
    <w:rsid w:val="00121CCF"/>
    <w:rsid w:val="001250C9"/>
    <w:rsid w:val="00125B98"/>
    <w:rsid w:val="00136674"/>
    <w:rsid w:val="00137481"/>
    <w:rsid w:val="00151C9B"/>
    <w:rsid w:val="001542E5"/>
    <w:rsid w:val="00160D39"/>
    <w:rsid w:val="001645D8"/>
    <w:rsid w:val="00172B07"/>
    <w:rsid w:val="00174215"/>
    <w:rsid w:val="0018178A"/>
    <w:rsid w:val="001819B5"/>
    <w:rsid w:val="001821B9"/>
    <w:rsid w:val="00185295"/>
    <w:rsid w:val="001869BF"/>
    <w:rsid w:val="00191AAA"/>
    <w:rsid w:val="00191CD5"/>
    <w:rsid w:val="00193664"/>
    <w:rsid w:val="00197162"/>
    <w:rsid w:val="001A1066"/>
    <w:rsid w:val="001A47B8"/>
    <w:rsid w:val="001A6CD9"/>
    <w:rsid w:val="001B4F21"/>
    <w:rsid w:val="001B559C"/>
    <w:rsid w:val="001B7C2E"/>
    <w:rsid w:val="001C28B7"/>
    <w:rsid w:val="001C4EB7"/>
    <w:rsid w:val="001D4B83"/>
    <w:rsid w:val="001D5722"/>
    <w:rsid w:val="001E25E8"/>
    <w:rsid w:val="001E3CF8"/>
    <w:rsid w:val="001E413D"/>
    <w:rsid w:val="001E6F8F"/>
    <w:rsid w:val="001F031E"/>
    <w:rsid w:val="001F11F7"/>
    <w:rsid w:val="001F5E8D"/>
    <w:rsid w:val="00211391"/>
    <w:rsid w:val="00213708"/>
    <w:rsid w:val="00220581"/>
    <w:rsid w:val="00230405"/>
    <w:rsid w:val="0023600C"/>
    <w:rsid w:val="00240E83"/>
    <w:rsid w:val="00241BD2"/>
    <w:rsid w:val="00245677"/>
    <w:rsid w:val="00255CD4"/>
    <w:rsid w:val="00266E39"/>
    <w:rsid w:val="002671DE"/>
    <w:rsid w:val="00275772"/>
    <w:rsid w:val="00285201"/>
    <w:rsid w:val="00285B92"/>
    <w:rsid w:val="002879D0"/>
    <w:rsid w:val="002A4CB5"/>
    <w:rsid w:val="002A5EFE"/>
    <w:rsid w:val="002B4B50"/>
    <w:rsid w:val="002B6316"/>
    <w:rsid w:val="002B69B2"/>
    <w:rsid w:val="002C1CA1"/>
    <w:rsid w:val="002D2BEB"/>
    <w:rsid w:val="002E550F"/>
    <w:rsid w:val="002E7C5B"/>
    <w:rsid w:val="002F287A"/>
    <w:rsid w:val="002F4548"/>
    <w:rsid w:val="002F66C9"/>
    <w:rsid w:val="00300D1F"/>
    <w:rsid w:val="00303F2A"/>
    <w:rsid w:val="0031342C"/>
    <w:rsid w:val="003139C9"/>
    <w:rsid w:val="00320CAC"/>
    <w:rsid w:val="00322979"/>
    <w:rsid w:val="00323C72"/>
    <w:rsid w:val="003341B0"/>
    <w:rsid w:val="00334FF8"/>
    <w:rsid w:val="0033636F"/>
    <w:rsid w:val="00337B27"/>
    <w:rsid w:val="00342D59"/>
    <w:rsid w:val="00343F94"/>
    <w:rsid w:val="0035063F"/>
    <w:rsid w:val="00352C1E"/>
    <w:rsid w:val="00356B96"/>
    <w:rsid w:val="00362AE7"/>
    <w:rsid w:val="003646E6"/>
    <w:rsid w:val="00371B62"/>
    <w:rsid w:val="00371BC9"/>
    <w:rsid w:val="003745F0"/>
    <w:rsid w:val="00375890"/>
    <w:rsid w:val="003767F7"/>
    <w:rsid w:val="00377555"/>
    <w:rsid w:val="00394875"/>
    <w:rsid w:val="003A06BA"/>
    <w:rsid w:val="003A4455"/>
    <w:rsid w:val="003A4970"/>
    <w:rsid w:val="003A49FE"/>
    <w:rsid w:val="003B4A86"/>
    <w:rsid w:val="003B67E7"/>
    <w:rsid w:val="003C07B1"/>
    <w:rsid w:val="003D11EF"/>
    <w:rsid w:val="003D3D32"/>
    <w:rsid w:val="003D653E"/>
    <w:rsid w:val="003E21A4"/>
    <w:rsid w:val="003E2D5B"/>
    <w:rsid w:val="003E4751"/>
    <w:rsid w:val="003E55B7"/>
    <w:rsid w:val="003F77CF"/>
    <w:rsid w:val="00415F58"/>
    <w:rsid w:val="00422517"/>
    <w:rsid w:val="0042253D"/>
    <w:rsid w:val="00435712"/>
    <w:rsid w:val="00454DC4"/>
    <w:rsid w:val="00455E27"/>
    <w:rsid w:val="004573CF"/>
    <w:rsid w:val="004624B8"/>
    <w:rsid w:val="00462D5F"/>
    <w:rsid w:val="00462D86"/>
    <w:rsid w:val="004773FB"/>
    <w:rsid w:val="004801C5"/>
    <w:rsid w:val="00480381"/>
    <w:rsid w:val="00482F35"/>
    <w:rsid w:val="004868BD"/>
    <w:rsid w:val="00490C1D"/>
    <w:rsid w:val="0049189E"/>
    <w:rsid w:val="00491D87"/>
    <w:rsid w:val="0049365E"/>
    <w:rsid w:val="00496574"/>
    <w:rsid w:val="0049686F"/>
    <w:rsid w:val="004970A2"/>
    <w:rsid w:val="004B2F0A"/>
    <w:rsid w:val="004B3A8F"/>
    <w:rsid w:val="004B511C"/>
    <w:rsid w:val="004B70D0"/>
    <w:rsid w:val="004B7261"/>
    <w:rsid w:val="004C0328"/>
    <w:rsid w:val="004C06C1"/>
    <w:rsid w:val="004C433B"/>
    <w:rsid w:val="004C45A4"/>
    <w:rsid w:val="004C68BA"/>
    <w:rsid w:val="004C6E00"/>
    <w:rsid w:val="004C700E"/>
    <w:rsid w:val="004C7E59"/>
    <w:rsid w:val="004D363A"/>
    <w:rsid w:val="004D57B1"/>
    <w:rsid w:val="004E4CD5"/>
    <w:rsid w:val="004E5BF2"/>
    <w:rsid w:val="004F0973"/>
    <w:rsid w:val="00504EA1"/>
    <w:rsid w:val="005072BE"/>
    <w:rsid w:val="00510F60"/>
    <w:rsid w:val="00512DED"/>
    <w:rsid w:val="00514998"/>
    <w:rsid w:val="005157DE"/>
    <w:rsid w:val="00521271"/>
    <w:rsid w:val="005227B8"/>
    <w:rsid w:val="005238BE"/>
    <w:rsid w:val="005245FF"/>
    <w:rsid w:val="00542D4C"/>
    <w:rsid w:val="00544C9F"/>
    <w:rsid w:val="005472B4"/>
    <w:rsid w:val="00552117"/>
    <w:rsid w:val="005526AE"/>
    <w:rsid w:val="00552E0B"/>
    <w:rsid w:val="00553DC3"/>
    <w:rsid w:val="00553EE6"/>
    <w:rsid w:val="00556119"/>
    <w:rsid w:val="0055760B"/>
    <w:rsid w:val="00557B0E"/>
    <w:rsid w:val="0056102B"/>
    <w:rsid w:val="00561279"/>
    <w:rsid w:val="00563ADF"/>
    <w:rsid w:val="0056413E"/>
    <w:rsid w:val="00567904"/>
    <w:rsid w:val="00570F81"/>
    <w:rsid w:val="00576C78"/>
    <w:rsid w:val="00577343"/>
    <w:rsid w:val="00583177"/>
    <w:rsid w:val="00587E83"/>
    <w:rsid w:val="00592413"/>
    <w:rsid w:val="00593341"/>
    <w:rsid w:val="00596436"/>
    <w:rsid w:val="0059715A"/>
    <w:rsid w:val="005A44A6"/>
    <w:rsid w:val="005A60B9"/>
    <w:rsid w:val="005A6DB9"/>
    <w:rsid w:val="005A70FA"/>
    <w:rsid w:val="005B264E"/>
    <w:rsid w:val="005B7595"/>
    <w:rsid w:val="005C7D65"/>
    <w:rsid w:val="005D1BD7"/>
    <w:rsid w:val="005D584E"/>
    <w:rsid w:val="005E5236"/>
    <w:rsid w:val="005F2417"/>
    <w:rsid w:val="005F2DA3"/>
    <w:rsid w:val="005F3A21"/>
    <w:rsid w:val="00600777"/>
    <w:rsid w:val="00607942"/>
    <w:rsid w:val="00611AA9"/>
    <w:rsid w:val="00611B7F"/>
    <w:rsid w:val="006138C7"/>
    <w:rsid w:val="006171E3"/>
    <w:rsid w:val="00633321"/>
    <w:rsid w:val="00635B45"/>
    <w:rsid w:val="00635B64"/>
    <w:rsid w:val="006404A2"/>
    <w:rsid w:val="00640514"/>
    <w:rsid w:val="00640E31"/>
    <w:rsid w:val="00641243"/>
    <w:rsid w:val="00643004"/>
    <w:rsid w:val="00653B9E"/>
    <w:rsid w:val="00657A06"/>
    <w:rsid w:val="006614C2"/>
    <w:rsid w:val="0066211D"/>
    <w:rsid w:val="0066339D"/>
    <w:rsid w:val="0066445E"/>
    <w:rsid w:val="0067255B"/>
    <w:rsid w:val="00675F5F"/>
    <w:rsid w:val="006844C0"/>
    <w:rsid w:val="006846B3"/>
    <w:rsid w:val="00685356"/>
    <w:rsid w:val="00696AF3"/>
    <w:rsid w:val="006A375F"/>
    <w:rsid w:val="006A402F"/>
    <w:rsid w:val="006A497D"/>
    <w:rsid w:val="006B047E"/>
    <w:rsid w:val="006B41A1"/>
    <w:rsid w:val="006C0E7C"/>
    <w:rsid w:val="006C1BD6"/>
    <w:rsid w:val="006C4305"/>
    <w:rsid w:val="006C64DD"/>
    <w:rsid w:val="006D5592"/>
    <w:rsid w:val="006D7FC0"/>
    <w:rsid w:val="006E0352"/>
    <w:rsid w:val="006E11A0"/>
    <w:rsid w:val="006F3C47"/>
    <w:rsid w:val="00700592"/>
    <w:rsid w:val="00707C25"/>
    <w:rsid w:val="00712BAB"/>
    <w:rsid w:val="007361E7"/>
    <w:rsid w:val="00737A27"/>
    <w:rsid w:val="007455B0"/>
    <w:rsid w:val="007529D0"/>
    <w:rsid w:val="00753C16"/>
    <w:rsid w:val="00757D7E"/>
    <w:rsid w:val="00771198"/>
    <w:rsid w:val="007734E9"/>
    <w:rsid w:val="00774133"/>
    <w:rsid w:val="00775613"/>
    <w:rsid w:val="007821EB"/>
    <w:rsid w:val="00794480"/>
    <w:rsid w:val="007A00E8"/>
    <w:rsid w:val="007A6ED2"/>
    <w:rsid w:val="007B14E5"/>
    <w:rsid w:val="007C5A03"/>
    <w:rsid w:val="007C5EA6"/>
    <w:rsid w:val="007D2ECF"/>
    <w:rsid w:val="007D40CB"/>
    <w:rsid w:val="007E02B9"/>
    <w:rsid w:val="007E53BB"/>
    <w:rsid w:val="007E5ABC"/>
    <w:rsid w:val="008001B3"/>
    <w:rsid w:val="0080401E"/>
    <w:rsid w:val="008049AB"/>
    <w:rsid w:val="0081024E"/>
    <w:rsid w:val="00813A99"/>
    <w:rsid w:val="0082450A"/>
    <w:rsid w:val="008314A5"/>
    <w:rsid w:val="008320D8"/>
    <w:rsid w:val="00834A32"/>
    <w:rsid w:val="00835E1D"/>
    <w:rsid w:val="00841B09"/>
    <w:rsid w:val="00845E25"/>
    <w:rsid w:val="008468ED"/>
    <w:rsid w:val="0085478E"/>
    <w:rsid w:val="008609A5"/>
    <w:rsid w:val="0086465E"/>
    <w:rsid w:val="00871235"/>
    <w:rsid w:val="00875CA7"/>
    <w:rsid w:val="00876743"/>
    <w:rsid w:val="008770A2"/>
    <w:rsid w:val="00885072"/>
    <w:rsid w:val="0088618E"/>
    <w:rsid w:val="00887790"/>
    <w:rsid w:val="00890723"/>
    <w:rsid w:val="008908C5"/>
    <w:rsid w:val="00894FB4"/>
    <w:rsid w:val="0089630C"/>
    <w:rsid w:val="008A366F"/>
    <w:rsid w:val="008A6719"/>
    <w:rsid w:val="008B115D"/>
    <w:rsid w:val="008C000B"/>
    <w:rsid w:val="008C1F95"/>
    <w:rsid w:val="008C36B4"/>
    <w:rsid w:val="008C4359"/>
    <w:rsid w:val="008C5162"/>
    <w:rsid w:val="008C5164"/>
    <w:rsid w:val="008D39A8"/>
    <w:rsid w:val="008D7DFD"/>
    <w:rsid w:val="008E490F"/>
    <w:rsid w:val="008E6528"/>
    <w:rsid w:val="008F3713"/>
    <w:rsid w:val="008F37FF"/>
    <w:rsid w:val="008F5023"/>
    <w:rsid w:val="008F5CAA"/>
    <w:rsid w:val="00905737"/>
    <w:rsid w:val="00906510"/>
    <w:rsid w:val="00924F3A"/>
    <w:rsid w:val="00931F10"/>
    <w:rsid w:val="009323D6"/>
    <w:rsid w:val="0093637E"/>
    <w:rsid w:val="00940DA3"/>
    <w:rsid w:val="00941729"/>
    <w:rsid w:val="0095324A"/>
    <w:rsid w:val="00953C23"/>
    <w:rsid w:val="00956331"/>
    <w:rsid w:val="00956F40"/>
    <w:rsid w:val="0096127B"/>
    <w:rsid w:val="009704B9"/>
    <w:rsid w:val="00971B05"/>
    <w:rsid w:val="009757BA"/>
    <w:rsid w:val="00993FAA"/>
    <w:rsid w:val="00993FFC"/>
    <w:rsid w:val="009A19F7"/>
    <w:rsid w:val="009A48EB"/>
    <w:rsid w:val="009B17A6"/>
    <w:rsid w:val="009B2113"/>
    <w:rsid w:val="009B4B3E"/>
    <w:rsid w:val="009C0514"/>
    <w:rsid w:val="009C0986"/>
    <w:rsid w:val="009D0305"/>
    <w:rsid w:val="009D0EC6"/>
    <w:rsid w:val="009D330A"/>
    <w:rsid w:val="009D58A7"/>
    <w:rsid w:val="009F12D1"/>
    <w:rsid w:val="009F4C6D"/>
    <w:rsid w:val="009F6845"/>
    <w:rsid w:val="00A00B26"/>
    <w:rsid w:val="00A03120"/>
    <w:rsid w:val="00A0335C"/>
    <w:rsid w:val="00A04FAE"/>
    <w:rsid w:val="00A10627"/>
    <w:rsid w:val="00A20A62"/>
    <w:rsid w:val="00A22EC0"/>
    <w:rsid w:val="00A239B3"/>
    <w:rsid w:val="00A25D6E"/>
    <w:rsid w:val="00A262A5"/>
    <w:rsid w:val="00A30FDD"/>
    <w:rsid w:val="00A335B4"/>
    <w:rsid w:val="00A3432E"/>
    <w:rsid w:val="00A362EE"/>
    <w:rsid w:val="00A42EB8"/>
    <w:rsid w:val="00A53E77"/>
    <w:rsid w:val="00A615F1"/>
    <w:rsid w:val="00A666BA"/>
    <w:rsid w:val="00A75D11"/>
    <w:rsid w:val="00A7760E"/>
    <w:rsid w:val="00A81865"/>
    <w:rsid w:val="00A825B5"/>
    <w:rsid w:val="00A83879"/>
    <w:rsid w:val="00A84180"/>
    <w:rsid w:val="00AB01BE"/>
    <w:rsid w:val="00AB73B5"/>
    <w:rsid w:val="00AC02F9"/>
    <w:rsid w:val="00AC10C1"/>
    <w:rsid w:val="00AC1350"/>
    <w:rsid w:val="00AC3F14"/>
    <w:rsid w:val="00AD21B3"/>
    <w:rsid w:val="00AE0A57"/>
    <w:rsid w:val="00AE19F4"/>
    <w:rsid w:val="00AE24CD"/>
    <w:rsid w:val="00AF0F73"/>
    <w:rsid w:val="00B007C8"/>
    <w:rsid w:val="00B04F3B"/>
    <w:rsid w:val="00B05DB7"/>
    <w:rsid w:val="00B11044"/>
    <w:rsid w:val="00B21EE0"/>
    <w:rsid w:val="00B22D3D"/>
    <w:rsid w:val="00B23F7F"/>
    <w:rsid w:val="00B24606"/>
    <w:rsid w:val="00B24F80"/>
    <w:rsid w:val="00B25562"/>
    <w:rsid w:val="00B35094"/>
    <w:rsid w:val="00B46181"/>
    <w:rsid w:val="00B60721"/>
    <w:rsid w:val="00B6522F"/>
    <w:rsid w:val="00B67A9E"/>
    <w:rsid w:val="00B71AC6"/>
    <w:rsid w:val="00B74CCE"/>
    <w:rsid w:val="00B84681"/>
    <w:rsid w:val="00B90F50"/>
    <w:rsid w:val="00B92C71"/>
    <w:rsid w:val="00B94DBA"/>
    <w:rsid w:val="00B96D8F"/>
    <w:rsid w:val="00BA015D"/>
    <w:rsid w:val="00BC5647"/>
    <w:rsid w:val="00BD1F11"/>
    <w:rsid w:val="00BD2177"/>
    <w:rsid w:val="00BD2BDC"/>
    <w:rsid w:val="00BD58F0"/>
    <w:rsid w:val="00BE0427"/>
    <w:rsid w:val="00BE65E8"/>
    <w:rsid w:val="00BE6A4E"/>
    <w:rsid w:val="00BE6B5B"/>
    <w:rsid w:val="00BE6DF3"/>
    <w:rsid w:val="00BE6E67"/>
    <w:rsid w:val="00BF1A21"/>
    <w:rsid w:val="00C014C5"/>
    <w:rsid w:val="00C2239E"/>
    <w:rsid w:val="00C23370"/>
    <w:rsid w:val="00C31E9F"/>
    <w:rsid w:val="00C378CD"/>
    <w:rsid w:val="00C42012"/>
    <w:rsid w:val="00C4491E"/>
    <w:rsid w:val="00C51329"/>
    <w:rsid w:val="00C51E09"/>
    <w:rsid w:val="00C57B85"/>
    <w:rsid w:val="00C63BEE"/>
    <w:rsid w:val="00C734C4"/>
    <w:rsid w:val="00C74826"/>
    <w:rsid w:val="00C74890"/>
    <w:rsid w:val="00C75DD0"/>
    <w:rsid w:val="00C76A23"/>
    <w:rsid w:val="00C77CA6"/>
    <w:rsid w:val="00C8402A"/>
    <w:rsid w:val="00C94DD4"/>
    <w:rsid w:val="00C951F4"/>
    <w:rsid w:val="00CA5EE7"/>
    <w:rsid w:val="00CB7313"/>
    <w:rsid w:val="00CC47BA"/>
    <w:rsid w:val="00CC6EDD"/>
    <w:rsid w:val="00CD29AE"/>
    <w:rsid w:val="00CD416B"/>
    <w:rsid w:val="00CD68EE"/>
    <w:rsid w:val="00CD7295"/>
    <w:rsid w:val="00CE0B26"/>
    <w:rsid w:val="00CE465E"/>
    <w:rsid w:val="00CE472E"/>
    <w:rsid w:val="00CE47B9"/>
    <w:rsid w:val="00CE7C4E"/>
    <w:rsid w:val="00CF07DD"/>
    <w:rsid w:val="00CF43E0"/>
    <w:rsid w:val="00CF4F30"/>
    <w:rsid w:val="00CF6FA2"/>
    <w:rsid w:val="00D0331B"/>
    <w:rsid w:val="00D0455E"/>
    <w:rsid w:val="00D175E3"/>
    <w:rsid w:val="00D21189"/>
    <w:rsid w:val="00D22584"/>
    <w:rsid w:val="00D22EF7"/>
    <w:rsid w:val="00D25868"/>
    <w:rsid w:val="00D258A3"/>
    <w:rsid w:val="00D2687D"/>
    <w:rsid w:val="00D31444"/>
    <w:rsid w:val="00D40644"/>
    <w:rsid w:val="00D409D8"/>
    <w:rsid w:val="00D43A09"/>
    <w:rsid w:val="00D50D7A"/>
    <w:rsid w:val="00D5136A"/>
    <w:rsid w:val="00D632F1"/>
    <w:rsid w:val="00D73671"/>
    <w:rsid w:val="00D75AE2"/>
    <w:rsid w:val="00D8508B"/>
    <w:rsid w:val="00D8669F"/>
    <w:rsid w:val="00D97663"/>
    <w:rsid w:val="00DA373A"/>
    <w:rsid w:val="00DB0231"/>
    <w:rsid w:val="00DB28A9"/>
    <w:rsid w:val="00DB5BE2"/>
    <w:rsid w:val="00DC0879"/>
    <w:rsid w:val="00DC4B4F"/>
    <w:rsid w:val="00DC6598"/>
    <w:rsid w:val="00DC6FF1"/>
    <w:rsid w:val="00DE119A"/>
    <w:rsid w:val="00DF7183"/>
    <w:rsid w:val="00E020B3"/>
    <w:rsid w:val="00E02677"/>
    <w:rsid w:val="00E03AF9"/>
    <w:rsid w:val="00E104B4"/>
    <w:rsid w:val="00E115D0"/>
    <w:rsid w:val="00E16B3E"/>
    <w:rsid w:val="00E233E9"/>
    <w:rsid w:val="00E31F7B"/>
    <w:rsid w:val="00E32EC0"/>
    <w:rsid w:val="00E338C2"/>
    <w:rsid w:val="00E4103C"/>
    <w:rsid w:val="00E42C47"/>
    <w:rsid w:val="00E42DCB"/>
    <w:rsid w:val="00E433CF"/>
    <w:rsid w:val="00E43779"/>
    <w:rsid w:val="00E56C24"/>
    <w:rsid w:val="00E602C2"/>
    <w:rsid w:val="00E6642D"/>
    <w:rsid w:val="00E677FA"/>
    <w:rsid w:val="00E67EDC"/>
    <w:rsid w:val="00E73327"/>
    <w:rsid w:val="00E745C7"/>
    <w:rsid w:val="00E82B77"/>
    <w:rsid w:val="00E904F2"/>
    <w:rsid w:val="00E93519"/>
    <w:rsid w:val="00EA1C86"/>
    <w:rsid w:val="00EA422E"/>
    <w:rsid w:val="00EB5E5F"/>
    <w:rsid w:val="00EB5EFC"/>
    <w:rsid w:val="00EB6A54"/>
    <w:rsid w:val="00EB7129"/>
    <w:rsid w:val="00EC203C"/>
    <w:rsid w:val="00EC2771"/>
    <w:rsid w:val="00EC3348"/>
    <w:rsid w:val="00ED20C9"/>
    <w:rsid w:val="00ED4C35"/>
    <w:rsid w:val="00ED6701"/>
    <w:rsid w:val="00EE0A42"/>
    <w:rsid w:val="00EE2E57"/>
    <w:rsid w:val="00EF12C4"/>
    <w:rsid w:val="00EF2B03"/>
    <w:rsid w:val="00EF744C"/>
    <w:rsid w:val="00F00FDB"/>
    <w:rsid w:val="00F04181"/>
    <w:rsid w:val="00F0488D"/>
    <w:rsid w:val="00F06045"/>
    <w:rsid w:val="00F07089"/>
    <w:rsid w:val="00F21E99"/>
    <w:rsid w:val="00F26397"/>
    <w:rsid w:val="00F266E5"/>
    <w:rsid w:val="00F26C0D"/>
    <w:rsid w:val="00F26D44"/>
    <w:rsid w:val="00F30B3D"/>
    <w:rsid w:val="00F322C3"/>
    <w:rsid w:val="00F41213"/>
    <w:rsid w:val="00F4454F"/>
    <w:rsid w:val="00F465B3"/>
    <w:rsid w:val="00F50409"/>
    <w:rsid w:val="00F53181"/>
    <w:rsid w:val="00F53CE9"/>
    <w:rsid w:val="00F74A54"/>
    <w:rsid w:val="00F77EB8"/>
    <w:rsid w:val="00F819B1"/>
    <w:rsid w:val="00F93FA5"/>
    <w:rsid w:val="00F96845"/>
    <w:rsid w:val="00FA224C"/>
    <w:rsid w:val="00FC1DB5"/>
    <w:rsid w:val="00FC243C"/>
    <w:rsid w:val="00FC671F"/>
    <w:rsid w:val="00FD293B"/>
    <w:rsid w:val="00FE5692"/>
    <w:rsid w:val="00FE7FA4"/>
    <w:rsid w:val="00FF19E9"/>
    <w:rsid w:val="00FF5207"/>
    <w:rsid w:val="00FF5AF7"/>
    <w:rsid w:val="011960F6"/>
    <w:rsid w:val="01AB30D6"/>
    <w:rsid w:val="01DE2F77"/>
    <w:rsid w:val="03311567"/>
    <w:rsid w:val="03715714"/>
    <w:rsid w:val="03A32F6E"/>
    <w:rsid w:val="042F6F07"/>
    <w:rsid w:val="04480EAD"/>
    <w:rsid w:val="049A3DD1"/>
    <w:rsid w:val="05084B8E"/>
    <w:rsid w:val="051E359A"/>
    <w:rsid w:val="05A4683C"/>
    <w:rsid w:val="063D67F2"/>
    <w:rsid w:val="068C1F6A"/>
    <w:rsid w:val="06DB47A6"/>
    <w:rsid w:val="06E43CEC"/>
    <w:rsid w:val="0710641C"/>
    <w:rsid w:val="071C581A"/>
    <w:rsid w:val="07A0746D"/>
    <w:rsid w:val="07C86831"/>
    <w:rsid w:val="080D5547"/>
    <w:rsid w:val="082F3F84"/>
    <w:rsid w:val="084E6BAC"/>
    <w:rsid w:val="08BC081F"/>
    <w:rsid w:val="08FB393B"/>
    <w:rsid w:val="09095046"/>
    <w:rsid w:val="09C0575E"/>
    <w:rsid w:val="09EB2FF6"/>
    <w:rsid w:val="09ED6814"/>
    <w:rsid w:val="0A2C6324"/>
    <w:rsid w:val="0A2D7928"/>
    <w:rsid w:val="0A4B2C0C"/>
    <w:rsid w:val="0A5F375D"/>
    <w:rsid w:val="0A736BEF"/>
    <w:rsid w:val="0ABE3E61"/>
    <w:rsid w:val="0C5A58C5"/>
    <w:rsid w:val="0CBD0092"/>
    <w:rsid w:val="0D651C1A"/>
    <w:rsid w:val="0DBC2174"/>
    <w:rsid w:val="0DD617F8"/>
    <w:rsid w:val="0E041899"/>
    <w:rsid w:val="0E967283"/>
    <w:rsid w:val="0EED5BD2"/>
    <w:rsid w:val="0EF1613B"/>
    <w:rsid w:val="0EFC0DF1"/>
    <w:rsid w:val="0F097C8D"/>
    <w:rsid w:val="0F38085E"/>
    <w:rsid w:val="0F3C04A8"/>
    <w:rsid w:val="0F533B49"/>
    <w:rsid w:val="0F643A8C"/>
    <w:rsid w:val="0FCA717A"/>
    <w:rsid w:val="101217CD"/>
    <w:rsid w:val="105E6170"/>
    <w:rsid w:val="10A44A51"/>
    <w:rsid w:val="10C6742D"/>
    <w:rsid w:val="11AB10A9"/>
    <w:rsid w:val="11C32D75"/>
    <w:rsid w:val="11F66F30"/>
    <w:rsid w:val="121E5E45"/>
    <w:rsid w:val="129F2F43"/>
    <w:rsid w:val="12B22F37"/>
    <w:rsid w:val="12FB012B"/>
    <w:rsid w:val="13F4253A"/>
    <w:rsid w:val="14D04319"/>
    <w:rsid w:val="14EB2C51"/>
    <w:rsid w:val="15207F99"/>
    <w:rsid w:val="15E163D5"/>
    <w:rsid w:val="15F56AC7"/>
    <w:rsid w:val="16040E75"/>
    <w:rsid w:val="16273424"/>
    <w:rsid w:val="16292C07"/>
    <w:rsid w:val="164A6936"/>
    <w:rsid w:val="16F612F7"/>
    <w:rsid w:val="170A085C"/>
    <w:rsid w:val="177F0ECB"/>
    <w:rsid w:val="17B145CB"/>
    <w:rsid w:val="18FE05D5"/>
    <w:rsid w:val="194020A3"/>
    <w:rsid w:val="194C2664"/>
    <w:rsid w:val="19CC0C96"/>
    <w:rsid w:val="19EB3248"/>
    <w:rsid w:val="1B15619A"/>
    <w:rsid w:val="1B665F45"/>
    <w:rsid w:val="1B7360BB"/>
    <w:rsid w:val="1BA44037"/>
    <w:rsid w:val="1BB73916"/>
    <w:rsid w:val="1BCC2B78"/>
    <w:rsid w:val="1BDB7786"/>
    <w:rsid w:val="1BFD1B56"/>
    <w:rsid w:val="1C2022B6"/>
    <w:rsid w:val="1C3E2465"/>
    <w:rsid w:val="1C9358F1"/>
    <w:rsid w:val="1D5D6557"/>
    <w:rsid w:val="1E1C7CE5"/>
    <w:rsid w:val="1E362B81"/>
    <w:rsid w:val="1E586650"/>
    <w:rsid w:val="1EEF7D6C"/>
    <w:rsid w:val="1F2A7375"/>
    <w:rsid w:val="1F60585B"/>
    <w:rsid w:val="1FBC7B46"/>
    <w:rsid w:val="1FC27CFA"/>
    <w:rsid w:val="208706ED"/>
    <w:rsid w:val="208D468E"/>
    <w:rsid w:val="208E6D40"/>
    <w:rsid w:val="20AA3045"/>
    <w:rsid w:val="20BB2DE8"/>
    <w:rsid w:val="20BC177F"/>
    <w:rsid w:val="20DB1F18"/>
    <w:rsid w:val="214E7317"/>
    <w:rsid w:val="21812B97"/>
    <w:rsid w:val="21A86D41"/>
    <w:rsid w:val="21C175F0"/>
    <w:rsid w:val="21CC3B44"/>
    <w:rsid w:val="21D51DF1"/>
    <w:rsid w:val="21D80F3C"/>
    <w:rsid w:val="2222638C"/>
    <w:rsid w:val="222C16DB"/>
    <w:rsid w:val="2260385A"/>
    <w:rsid w:val="22646A5D"/>
    <w:rsid w:val="228A02FC"/>
    <w:rsid w:val="22B67349"/>
    <w:rsid w:val="234D6BEA"/>
    <w:rsid w:val="247E1508"/>
    <w:rsid w:val="250D1634"/>
    <w:rsid w:val="251114ED"/>
    <w:rsid w:val="25581036"/>
    <w:rsid w:val="255D16C7"/>
    <w:rsid w:val="255D1AF7"/>
    <w:rsid w:val="26AC44B7"/>
    <w:rsid w:val="26F926B7"/>
    <w:rsid w:val="270806F2"/>
    <w:rsid w:val="27A74850"/>
    <w:rsid w:val="27D77AF0"/>
    <w:rsid w:val="2843669F"/>
    <w:rsid w:val="29A8358C"/>
    <w:rsid w:val="2A636E5D"/>
    <w:rsid w:val="2A9045FB"/>
    <w:rsid w:val="2B144CB7"/>
    <w:rsid w:val="2C582B84"/>
    <w:rsid w:val="2C6A0A46"/>
    <w:rsid w:val="2CD704C9"/>
    <w:rsid w:val="2D5D4E31"/>
    <w:rsid w:val="2D7E7ACE"/>
    <w:rsid w:val="2D897AF9"/>
    <w:rsid w:val="2E107125"/>
    <w:rsid w:val="2EE15E31"/>
    <w:rsid w:val="2F11130E"/>
    <w:rsid w:val="2F46700F"/>
    <w:rsid w:val="2F5E4744"/>
    <w:rsid w:val="30314E1A"/>
    <w:rsid w:val="3060639A"/>
    <w:rsid w:val="30DB7A36"/>
    <w:rsid w:val="30F139AC"/>
    <w:rsid w:val="32827A03"/>
    <w:rsid w:val="329E4DD3"/>
    <w:rsid w:val="32A44064"/>
    <w:rsid w:val="339E2E88"/>
    <w:rsid w:val="34E0733F"/>
    <w:rsid w:val="34E277F7"/>
    <w:rsid w:val="357864FF"/>
    <w:rsid w:val="35FA43E9"/>
    <w:rsid w:val="364570E9"/>
    <w:rsid w:val="3665287F"/>
    <w:rsid w:val="36695672"/>
    <w:rsid w:val="36A10C79"/>
    <w:rsid w:val="375B1275"/>
    <w:rsid w:val="384371D2"/>
    <w:rsid w:val="38FD39B3"/>
    <w:rsid w:val="390F1D8B"/>
    <w:rsid w:val="394E715B"/>
    <w:rsid w:val="396A657E"/>
    <w:rsid w:val="3A360834"/>
    <w:rsid w:val="3AEA3134"/>
    <w:rsid w:val="3B857132"/>
    <w:rsid w:val="3BEA451F"/>
    <w:rsid w:val="3C166619"/>
    <w:rsid w:val="3C602A96"/>
    <w:rsid w:val="3C8D2886"/>
    <w:rsid w:val="3CA371FC"/>
    <w:rsid w:val="3CD1644B"/>
    <w:rsid w:val="3DAF58A8"/>
    <w:rsid w:val="3DB36C4C"/>
    <w:rsid w:val="3DBE0CD7"/>
    <w:rsid w:val="3DC254A4"/>
    <w:rsid w:val="3E794CA1"/>
    <w:rsid w:val="3EC86ACC"/>
    <w:rsid w:val="3EDE6B8C"/>
    <w:rsid w:val="3EF53552"/>
    <w:rsid w:val="3F5A7FCD"/>
    <w:rsid w:val="3F8B54A0"/>
    <w:rsid w:val="3FF8093D"/>
    <w:rsid w:val="405D7BD3"/>
    <w:rsid w:val="409A33BF"/>
    <w:rsid w:val="40CE55BC"/>
    <w:rsid w:val="41323FE5"/>
    <w:rsid w:val="42690E2B"/>
    <w:rsid w:val="42CD4C27"/>
    <w:rsid w:val="42CF7FF2"/>
    <w:rsid w:val="42DA0A7F"/>
    <w:rsid w:val="43537B70"/>
    <w:rsid w:val="438B0BA3"/>
    <w:rsid w:val="43D517E1"/>
    <w:rsid w:val="447A5D55"/>
    <w:rsid w:val="450A7957"/>
    <w:rsid w:val="4554596F"/>
    <w:rsid w:val="45EB4AE6"/>
    <w:rsid w:val="46447819"/>
    <w:rsid w:val="46912F16"/>
    <w:rsid w:val="472C1DC7"/>
    <w:rsid w:val="48322832"/>
    <w:rsid w:val="485623BA"/>
    <w:rsid w:val="486D40CC"/>
    <w:rsid w:val="48BB71E8"/>
    <w:rsid w:val="492A0F63"/>
    <w:rsid w:val="49AE1A60"/>
    <w:rsid w:val="4A2D68EB"/>
    <w:rsid w:val="4A78548A"/>
    <w:rsid w:val="4A9E3F29"/>
    <w:rsid w:val="4A9F6EB4"/>
    <w:rsid w:val="4AED798D"/>
    <w:rsid w:val="4B2472D2"/>
    <w:rsid w:val="4B8466FE"/>
    <w:rsid w:val="4B9031E7"/>
    <w:rsid w:val="4BDA44B3"/>
    <w:rsid w:val="4C1B21DF"/>
    <w:rsid w:val="4CC0463D"/>
    <w:rsid w:val="4CC53C1C"/>
    <w:rsid w:val="4CFD476F"/>
    <w:rsid w:val="4D053D69"/>
    <w:rsid w:val="4D3E57F5"/>
    <w:rsid w:val="4D3F02BF"/>
    <w:rsid w:val="4D941486"/>
    <w:rsid w:val="4E131A75"/>
    <w:rsid w:val="4E791204"/>
    <w:rsid w:val="4E824539"/>
    <w:rsid w:val="4EA137B5"/>
    <w:rsid w:val="4EC40233"/>
    <w:rsid w:val="4EC42FE4"/>
    <w:rsid w:val="4EFA3895"/>
    <w:rsid w:val="4F703EA0"/>
    <w:rsid w:val="4F7312EA"/>
    <w:rsid w:val="4F776790"/>
    <w:rsid w:val="4FB351DB"/>
    <w:rsid w:val="4FB67C09"/>
    <w:rsid w:val="50633FDC"/>
    <w:rsid w:val="5124109B"/>
    <w:rsid w:val="51F823D4"/>
    <w:rsid w:val="529962C0"/>
    <w:rsid w:val="533E0170"/>
    <w:rsid w:val="53764BD8"/>
    <w:rsid w:val="53961F7E"/>
    <w:rsid w:val="54E748C6"/>
    <w:rsid w:val="54F12633"/>
    <w:rsid w:val="54F6343B"/>
    <w:rsid w:val="55083261"/>
    <w:rsid w:val="550C4A40"/>
    <w:rsid w:val="551F4C8D"/>
    <w:rsid w:val="552266B5"/>
    <w:rsid w:val="55D16B3A"/>
    <w:rsid w:val="56594305"/>
    <w:rsid w:val="56877F4A"/>
    <w:rsid w:val="56B15E63"/>
    <w:rsid w:val="56B83ED8"/>
    <w:rsid w:val="56CD68F7"/>
    <w:rsid w:val="57447928"/>
    <w:rsid w:val="5787395B"/>
    <w:rsid w:val="57D22B71"/>
    <w:rsid w:val="57E807A8"/>
    <w:rsid w:val="58176AEA"/>
    <w:rsid w:val="58880D76"/>
    <w:rsid w:val="59486D12"/>
    <w:rsid w:val="59713F53"/>
    <w:rsid w:val="59850413"/>
    <w:rsid w:val="59977A69"/>
    <w:rsid w:val="5A7055E8"/>
    <w:rsid w:val="5ADE69B5"/>
    <w:rsid w:val="5B047AFB"/>
    <w:rsid w:val="5B2962FD"/>
    <w:rsid w:val="5B3844FF"/>
    <w:rsid w:val="5B65040F"/>
    <w:rsid w:val="5BC00AFC"/>
    <w:rsid w:val="5BC8561E"/>
    <w:rsid w:val="5C067E00"/>
    <w:rsid w:val="5C1A36F4"/>
    <w:rsid w:val="5C1E6AFC"/>
    <w:rsid w:val="5C373296"/>
    <w:rsid w:val="5C764A3F"/>
    <w:rsid w:val="5CD8056C"/>
    <w:rsid w:val="5D1934C2"/>
    <w:rsid w:val="5D4520A5"/>
    <w:rsid w:val="5DBC49F2"/>
    <w:rsid w:val="5EC36F92"/>
    <w:rsid w:val="5EC639FA"/>
    <w:rsid w:val="5F860857"/>
    <w:rsid w:val="5FE84837"/>
    <w:rsid w:val="609F0639"/>
    <w:rsid w:val="60A947CB"/>
    <w:rsid w:val="615A7261"/>
    <w:rsid w:val="6160031B"/>
    <w:rsid w:val="61AA589A"/>
    <w:rsid w:val="61DA47F5"/>
    <w:rsid w:val="624429D1"/>
    <w:rsid w:val="63372996"/>
    <w:rsid w:val="63C33236"/>
    <w:rsid w:val="63FA2BEA"/>
    <w:rsid w:val="64075198"/>
    <w:rsid w:val="64413127"/>
    <w:rsid w:val="64C240A8"/>
    <w:rsid w:val="65501466"/>
    <w:rsid w:val="65677595"/>
    <w:rsid w:val="65950BD5"/>
    <w:rsid w:val="65AF7B6C"/>
    <w:rsid w:val="66B67CB3"/>
    <w:rsid w:val="67504D2D"/>
    <w:rsid w:val="67637E8B"/>
    <w:rsid w:val="67A44D57"/>
    <w:rsid w:val="67AB6355"/>
    <w:rsid w:val="67B47136"/>
    <w:rsid w:val="67EA5B9F"/>
    <w:rsid w:val="684041FC"/>
    <w:rsid w:val="6868214E"/>
    <w:rsid w:val="68CE0E92"/>
    <w:rsid w:val="68D06444"/>
    <w:rsid w:val="69043E2D"/>
    <w:rsid w:val="69046043"/>
    <w:rsid w:val="699508C8"/>
    <w:rsid w:val="69A01782"/>
    <w:rsid w:val="6A393B1C"/>
    <w:rsid w:val="6A5029DA"/>
    <w:rsid w:val="6A5B77B6"/>
    <w:rsid w:val="6A607DC9"/>
    <w:rsid w:val="6BCB7608"/>
    <w:rsid w:val="6C062613"/>
    <w:rsid w:val="6C0746F3"/>
    <w:rsid w:val="6D710F01"/>
    <w:rsid w:val="6DA822B3"/>
    <w:rsid w:val="6DE428CB"/>
    <w:rsid w:val="6E1115CD"/>
    <w:rsid w:val="6E3B6A09"/>
    <w:rsid w:val="6EAC3245"/>
    <w:rsid w:val="6EEA3E6F"/>
    <w:rsid w:val="6EFC33B2"/>
    <w:rsid w:val="6F53173E"/>
    <w:rsid w:val="6F6230C5"/>
    <w:rsid w:val="6F707800"/>
    <w:rsid w:val="6F7D40D6"/>
    <w:rsid w:val="6FD400A3"/>
    <w:rsid w:val="701D371D"/>
    <w:rsid w:val="70E3451B"/>
    <w:rsid w:val="71081501"/>
    <w:rsid w:val="713B234F"/>
    <w:rsid w:val="714919F8"/>
    <w:rsid w:val="71512B8D"/>
    <w:rsid w:val="71930AA9"/>
    <w:rsid w:val="71BB451F"/>
    <w:rsid w:val="71E503F5"/>
    <w:rsid w:val="72111ED4"/>
    <w:rsid w:val="72880439"/>
    <w:rsid w:val="72BD169A"/>
    <w:rsid w:val="732A1C2A"/>
    <w:rsid w:val="736C4C5A"/>
    <w:rsid w:val="739A3F48"/>
    <w:rsid w:val="74090AF5"/>
    <w:rsid w:val="74320A98"/>
    <w:rsid w:val="743B4452"/>
    <w:rsid w:val="74556205"/>
    <w:rsid w:val="745D54AE"/>
    <w:rsid w:val="74857BE1"/>
    <w:rsid w:val="74F216D1"/>
    <w:rsid w:val="74F62051"/>
    <w:rsid w:val="75161986"/>
    <w:rsid w:val="754B582C"/>
    <w:rsid w:val="75511501"/>
    <w:rsid w:val="75AD49DC"/>
    <w:rsid w:val="75AF4040"/>
    <w:rsid w:val="763B4F71"/>
    <w:rsid w:val="7676576E"/>
    <w:rsid w:val="773E625F"/>
    <w:rsid w:val="77532EB9"/>
    <w:rsid w:val="775E722A"/>
    <w:rsid w:val="77680482"/>
    <w:rsid w:val="7778202E"/>
    <w:rsid w:val="78E32A5F"/>
    <w:rsid w:val="78E359EE"/>
    <w:rsid w:val="78F8154D"/>
    <w:rsid w:val="794D150C"/>
    <w:rsid w:val="79AD10E6"/>
    <w:rsid w:val="79E45AD7"/>
    <w:rsid w:val="7A333EA4"/>
    <w:rsid w:val="7B120D5C"/>
    <w:rsid w:val="7B413B1C"/>
    <w:rsid w:val="7C053109"/>
    <w:rsid w:val="7C056D41"/>
    <w:rsid w:val="7C9A34A9"/>
    <w:rsid w:val="7CB64733"/>
    <w:rsid w:val="7CBC778D"/>
    <w:rsid w:val="7CCC3733"/>
    <w:rsid w:val="7D0F5CD0"/>
    <w:rsid w:val="7D401166"/>
    <w:rsid w:val="7D757BC9"/>
    <w:rsid w:val="7D784D94"/>
    <w:rsid w:val="7DB872D4"/>
    <w:rsid w:val="7DC21706"/>
    <w:rsid w:val="7DD94342"/>
    <w:rsid w:val="7E6A56B5"/>
    <w:rsid w:val="7E8C6C84"/>
    <w:rsid w:val="7EBC7A64"/>
    <w:rsid w:val="7EC0776C"/>
    <w:rsid w:val="7FC317EA"/>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page number"/>
    <w:basedOn w:val="5"/>
    <w:qFormat/>
    <w:uiPriority w:val="0"/>
  </w:style>
  <w:style w:type="character" w:customStyle="1" w:styleId="8">
    <w:name w:val="页眉 字符"/>
    <w:basedOn w:val="5"/>
    <w:link w:val="4"/>
    <w:qFormat/>
    <w:uiPriority w:val="99"/>
    <w:rPr>
      <w:sz w:val="18"/>
      <w:szCs w:val="18"/>
    </w:rPr>
  </w:style>
  <w:style w:type="character" w:customStyle="1" w:styleId="9">
    <w:name w:val="页脚 字符"/>
    <w:basedOn w:val="5"/>
    <w:link w:val="3"/>
    <w:qFormat/>
    <w:uiPriority w:val="99"/>
    <w:rPr>
      <w:sz w:val="18"/>
      <w:szCs w:val="18"/>
    </w:rPr>
  </w:style>
  <w:style w:type="character" w:customStyle="1" w:styleId="10">
    <w:name w:val="批注框文本 字符"/>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707</Words>
  <Characters>4031</Characters>
  <Lines>33</Lines>
  <Paragraphs>9</Paragraphs>
  <ScaleCrop>false</ScaleCrop>
  <LinksUpToDate>false</LinksUpToDate>
  <CharactersWithSpaces>4729</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2021-01-19T10:08:00Z</dcterms:created>
  <dc:creator>CN=预算处/OU=预算处/OU=西藏自治区财政厅/O=TIBET</dc:creator>
  <cp:lastModifiedBy>Administrator</cp:lastModifiedBy>
  <cp:lastPrinted>2024-02-06T04:40:00Z</cp:lastPrinted>
  <dcterms:modified xsi:type="dcterms:W3CDTF">2026-02-10T15:26:05Z</dcterms:modified>
  <cp:revision>1645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