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黑体" w:hAnsi="Times New Roman" w:eastAsia="黑体" w:cs="黑体"/>
          <w:b/>
          <w:bCs w:val="0"/>
          <w:kern w:val="2"/>
          <w:sz w:val="52"/>
          <w:szCs w:val="5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黑体" w:hAnsi="Times New Roman" w:eastAsia="黑体" w:cs="黑体"/>
          <w:b/>
          <w:bCs w:val="0"/>
          <w:sz w:val="52"/>
          <w:szCs w:val="52"/>
          <w:lang w:val="en-US"/>
        </w:rPr>
      </w:pPr>
      <w:r>
        <w:rPr>
          <w:rFonts w:hint="eastAsia" w:ascii="黑体" w:hAnsi="Times New Roman" w:eastAsia="黑体" w:cs="黑体"/>
          <w:b/>
          <w:bCs w:val="0"/>
          <w:kern w:val="2"/>
          <w:sz w:val="52"/>
          <w:szCs w:val="52"/>
          <w:lang w:val="en-US" w:eastAsia="zh-CN" w:bidi="ar"/>
        </w:rPr>
        <w:t xml:space="preserve">那曲市人民检察院2021年度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黑体" w:hAnsi="Times New Roman" w:eastAsia="黑体" w:cs="黑体"/>
          <w:b/>
          <w:bCs w:val="0"/>
          <w:sz w:val="52"/>
          <w:szCs w:val="52"/>
          <w:lang w:val="en-US"/>
        </w:rPr>
      </w:pPr>
      <w:r>
        <w:rPr>
          <w:rFonts w:hint="eastAsia" w:ascii="黑体" w:hAnsi="Times New Roman" w:eastAsia="黑体" w:cs="黑体"/>
          <w:b/>
          <w:bCs w:val="0"/>
          <w:kern w:val="2"/>
          <w:sz w:val="52"/>
          <w:szCs w:val="52"/>
          <w:lang w:val="en-US" w:eastAsia="zh-CN" w:bidi="ar"/>
        </w:rPr>
        <w:t>部门决算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宋体" w:hAnsi="宋体" w:eastAsia="宋体" w:cs="宋体"/>
          <w:sz w:val="32"/>
          <w:szCs w:val="32"/>
          <w:u w:val="single"/>
          <w:lang w:val="en-US"/>
        </w:rPr>
      </w:pPr>
      <w:r>
        <w:rPr>
          <w:rFonts w:hint="eastAsia" w:ascii="宋体" w:hAnsi="宋体" w:eastAsia="宋体" w:cs="宋体"/>
          <w:kern w:val="2"/>
          <w:sz w:val="32"/>
          <w:szCs w:val="32"/>
          <w:u w:val="single"/>
          <w:lang w:val="en-US" w:eastAsia="zh-CN" w:bidi="ar"/>
        </w:rPr>
        <w:t xml:space="preserve"> 2022  </w:t>
      </w:r>
      <w:r>
        <w:rPr>
          <w:rFonts w:hint="eastAsia" w:ascii="宋体" w:hAnsi="宋体" w:eastAsia="宋体" w:cs="宋体"/>
          <w:kern w:val="2"/>
          <w:sz w:val="32"/>
          <w:szCs w:val="32"/>
          <w:lang w:val="en-US" w:eastAsia="zh-CN" w:bidi="ar"/>
        </w:rPr>
        <w:t>年</w:t>
      </w:r>
      <w:r>
        <w:rPr>
          <w:rFonts w:hint="eastAsia" w:ascii="宋体" w:hAnsi="宋体" w:eastAsia="宋体" w:cs="宋体"/>
          <w:kern w:val="2"/>
          <w:sz w:val="32"/>
          <w:szCs w:val="32"/>
          <w:u w:val="single"/>
          <w:lang w:val="en-US" w:eastAsia="zh-CN" w:bidi="ar"/>
        </w:rPr>
        <w:t xml:space="preserve">  12</w:t>
      </w:r>
      <w:r>
        <w:rPr>
          <w:rFonts w:hint="eastAsia" w:ascii="宋体" w:hAnsi="宋体" w:eastAsia="宋体" w:cs="宋体"/>
          <w:kern w:val="2"/>
          <w:sz w:val="32"/>
          <w:szCs w:val="32"/>
          <w:lang w:val="en-US" w:eastAsia="zh-CN" w:bidi="ar"/>
        </w:rPr>
        <w:t>月</w:t>
      </w:r>
      <w:r>
        <w:rPr>
          <w:rFonts w:hint="eastAsia" w:ascii="宋体" w:hAnsi="宋体" w:eastAsia="宋体" w:cs="宋体"/>
          <w:kern w:val="2"/>
          <w:sz w:val="32"/>
          <w:szCs w:val="32"/>
          <w:u w:val="single"/>
          <w:lang w:val="en-US" w:eastAsia="zh-CN" w:bidi="ar"/>
        </w:rPr>
        <w:t xml:space="preserve"> 25日</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sz w:val="44"/>
          <w:szCs w:val="44"/>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宋体" w:hAnsi="宋体" w:eastAsia="宋体" w:cs="宋体"/>
          <w:b/>
          <w:bCs w:val="0"/>
          <w:sz w:val="40"/>
          <w:szCs w:val="40"/>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宋体" w:hAnsi="宋体" w:eastAsia="宋体" w:cs="宋体"/>
          <w:b/>
          <w:bCs w:val="0"/>
          <w:kern w:val="2"/>
          <w:sz w:val="40"/>
          <w:szCs w:val="40"/>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宋体" w:hAnsi="宋体" w:eastAsia="宋体" w:cs="宋体"/>
          <w:b/>
          <w:bCs w:val="0"/>
          <w:kern w:val="2"/>
          <w:sz w:val="40"/>
          <w:szCs w:val="40"/>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宋体" w:hAnsi="宋体" w:eastAsia="宋体" w:cs="宋体"/>
          <w:b/>
          <w:bCs w:val="0"/>
          <w:sz w:val="40"/>
          <w:szCs w:val="40"/>
          <w:lang w:val="en-US"/>
        </w:rPr>
      </w:pPr>
      <w:r>
        <w:rPr>
          <w:rFonts w:hint="eastAsia" w:ascii="宋体" w:hAnsi="宋体" w:eastAsia="宋体" w:cs="宋体"/>
          <w:b/>
          <w:bCs w:val="0"/>
          <w:kern w:val="2"/>
          <w:sz w:val="40"/>
          <w:szCs w:val="40"/>
          <w:lang w:val="en-US" w:eastAsia="zh-CN" w:bidi="ar"/>
        </w:rPr>
        <w:t>目  录</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rFonts w:hint="eastAsia" w:ascii="宋体" w:hAnsi="宋体" w:eastAsia="宋体" w:cs="宋体"/>
          <w:b/>
          <w:bCs w:val="0"/>
          <w:sz w:val="40"/>
          <w:szCs w:val="40"/>
          <w:lang w:val="en-US"/>
        </w:rPr>
      </w:pPr>
    </w:p>
    <w:p>
      <w:pPr>
        <w:keepNext w:val="0"/>
        <w:keepLines w:val="0"/>
        <w:pageBreakBefore w:val="0"/>
        <w:widowControl w:val="0"/>
        <w:numPr>
          <w:ilvl w:val="0"/>
          <w:numId w:val="1"/>
        </w:numPr>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 那曲市人民检察院概况</w:t>
      </w:r>
    </w:p>
    <w:p>
      <w:pPr>
        <w:keepNext w:val="0"/>
        <w:keepLines w:val="0"/>
        <w:pageBreakBefore w:val="0"/>
        <w:widowControl w:val="0"/>
        <w:numPr>
          <w:ilvl w:val="0"/>
          <w:numId w:val="0"/>
        </w:numPr>
        <w:suppressLineNumbers w:val="0"/>
        <w:kinsoku/>
        <w:wordWrap/>
        <w:overflowPunct/>
        <w:topLinePunct w:val="0"/>
        <w:bidi w:val="0"/>
        <w:spacing w:before="240" w:beforeLines="100" w:beforeAutospacing="0" w:after="240" w:afterLines="100" w:afterAutospacing="0" w:line="540" w:lineRule="exact"/>
        <w:ind w:leftChars="200" w:right="0" w:rightChars="0" w:firstLine="320" w:firstLineChars="1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一、部门决算单位构成</w:t>
      </w:r>
    </w:p>
    <w:p>
      <w:pPr>
        <w:keepNext w:val="0"/>
        <w:keepLines w:val="0"/>
        <w:pageBreakBefore w:val="0"/>
        <w:widowControl w:val="0"/>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二、部门职责和机构设置</w:t>
      </w:r>
    </w:p>
    <w:p>
      <w:pPr>
        <w:keepNext w:val="0"/>
        <w:keepLines w:val="0"/>
        <w:pageBreakBefore w:val="0"/>
        <w:widowControl w:val="0"/>
        <w:suppressLineNumbers w:val="0"/>
        <w:kinsoku/>
        <w:wordWrap/>
        <w:overflowPunct/>
        <w:topLinePunct w:val="0"/>
        <w:bidi w:val="0"/>
        <w:spacing w:before="312" w:beforeLines="100" w:beforeAutospacing="0" w:after="312" w:afterLines="100" w:afterAutospacing="0" w:line="540" w:lineRule="exact"/>
        <w:ind w:left="0"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第二部分  那曲市人民检察院2021年度部门决算明细表</w:t>
      </w:r>
    </w:p>
    <w:p>
      <w:pPr>
        <w:keepNext w:val="0"/>
        <w:keepLines w:val="0"/>
        <w:pageBreakBefore w:val="0"/>
        <w:widowControl w:val="0"/>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一、收入支出决算总表</w:t>
      </w:r>
    </w:p>
    <w:p>
      <w:pPr>
        <w:keepNext w:val="0"/>
        <w:keepLines w:val="0"/>
        <w:pageBreakBefore w:val="0"/>
        <w:widowControl w:val="0"/>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二、收入决算表</w:t>
      </w:r>
    </w:p>
    <w:p>
      <w:pPr>
        <w:keepNext w:val="0"/>
        <w:keepLines w:val="0"/>
        <w:pageBreakBefore w:val="0"/>
        <w:widowControl w:val="0"/>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三、支出决算表</w:t>
      </w:r>
    </w:p>
    <w:p>
      <w:pPr>
        <w:keepNext w:val="0"/>
        <w:keepLines w:val="0"/>
        <w:pageBreakBefore w:val="0"/>
        <w:widowControl w:val="0"/>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四、财政拨款收支决算总表</w:t>
      </w:r>
    </w:p>
    <w:p>
      <w:pPr>
        <w:keepNext w:val="0"/>
        <w:keepLines w:val="0"/>
        <w:pageBreakBefore w:val="0"/>
        <w:widowControl w:val="0"/>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五、一般公共预算财政拨款支出决算表</w:t>
      </w:r>
    </w:p>
    <w:p>
      <w:pPr>
        <w:keepNext w:val="0"/>
        <w:keepLines w:val="0"/>
        <w:pageBreakBefore w:val="0"/>
        <w:widowControl w:val="0"/>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六、一般公共预算财政拨款基本支出决算表</w:t>
      </w:r>
    </w:p>
    <w:p>
      <w:pPr>
        <w:keepNext w:val="0"/>
        <w:keepLines w:val="0"/>
        <w:pageBreakBefore w:val="0"/>
        <w:widowControl w:val="0"/>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七、一般公共预算财政拨款“三公”经费支出决算表</w:t>
      </w:r>
    </w:p>
    <w:p>
      <w:pPr>
        <w:keepNext w:val="0"/>
        <w:keepLines w:val="0"/>
        <w:pageBreakBefore w:val="0"/>
        <w:widowControl w:val="0"/>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 政府性基金预算财政拨款收入支出决算表</w:t>
      </w:r>
    </w:p>
    <w:p>
      <w:pPr>
        <w:keepNext w:val="0"/>
        <w:keepLines w:val="0"/>
        <w:pageBreakBefore w:val="0"/>
        <w:widowControl w:val="0"/>
        <w:suppressLineNumbers w:val="0"/>
        <w:kinsoku/>
        <w:wordWrap/>
        <w:overflowPunct/>
        <w:topLinePunct w:val="0"/>
        <w:bidi w:val="0"/>
        <w:spacing w:before="240" w:beforeLines="100" w:beforeAutospacing="0" w:after="240" w:afterLines="100" w:afterAutospacing="0" w:line="54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九、国有资本经营预算财政拨款支出决算表</w:t>
      </w:r>
    </w:p>
    <w:p>
      <w:pPr>
        <w:keepNext w:val="0"/>
        <w:keepLines w:val="0"/>
        <w:pageBreakBefore w:val="0"/>
        <w:widowControl w:val="0"/>
        <w:suppressLineNumbers w:val="0"/>
        <w:kinsoku/>
        <w:wordWrap/>
        <w:overflowPunct/>
        <w:topLinePunct w:val="0"/>
        <w:bidi w:val="0"/>
        <w:spacing w:before="312" w:beforeLines="100" w:beforeAutospacing="0" w:after="312" w:afterLines="100" w:afterAutospacing="0" w:line="540" w:lineRule="exact"/>
        <w:ind w:left="0"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第三部分 那曲市人民检察院2021年度部门预算情况说明</w:t>
      </w:r>
    </w:p>
    <w:p>
      <w:pPr>
        <w:keepNext w:val="0"/>
        <w:keepLines w:val="0"/>
        <w:pageBreakBefore w:val="0"/>
        <w:widowControl w:val="0"/>
        <w:suppressLineNumbers w:val="0"/>
        <w:kinsoku/>
        <w:wordWrap/>
        <w:overflowPunct/>
        <w:topLinePunct w:val="0"/>
        <w:bidi w:val="0"/>
        <w:spacing w:before="312" w:beforeLines="100" w:beforeAutospacing="0" w:after="312" w:afterLines="100" w:afterAutospacing="0" w:line="540" w:lineRule="exact"/>
        <w:ind w:left="0"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第四部分  名词解释</w:t>
      </w:r>
    </w:p>
    <w:p>
      <w:pPr>
        <w:keepNext w:val="0"/>
        <w:keepLines w:val="0"/>
        <w:pageBreakBefore w:val="0"/>
        <w:widowControl/>
        <w:suppressLineNumbers w:val="0"/>
        <w:kinsoku/>
        <w:wordWrap/>
        <w:overflowPunct/>
        <w:topLinePunct w:val="0"/>
        <w:bidi w:val="0"/>
        <w:spacing w:before="0" w:beforeAutospacing="0" w:after="0" w:afterAutospacing="0" w:line="540" w:lineRule="exact"/>
        <w:ind w:right="0" w:firstLine="640" w:firstLineChars="200"/>
        <w:jc w:val="left"/>
        <w:textAlignment w:val="auto"/>
        <w:rPr>
          <w:rFonts w:hint="eastAsia" w:ascii="黑体" w:hAnsi="宋体" w:eastAsia="黑体" w:cs="黑体"/>
          <w:color w:val="000000"/>
          <w:kern w:val="0"/>
          <w:sz w:val="32"/>
          <w:szCs w:val="32"/>
          <w:lang w:val="en-US"/>
        </w:rPr>
      </w:pPr>
      <w:r>
        <w:rPr>
          <w:rFonts w:hint="eastAsia" w:ascii="黑体" w:hAnsi="宋体" w:eastAsia="黑体" w:cs="黑体"/>
          <w:color w:val="000000"/>
          <w:kern w:val="0"/>
          <w:sz w:val="32"/>
          <w:szCs w:val="32"/>
          <w:lang w:val="en-US" w:eastAsia="zh-CN" w:bidi="ar"/>
        </w:rPr>
        <w:t xml:space="preserve">第一部分 </w:t>
      </w:r>
      <w:r>
        <w:rPr>
          <w:rFonts w:hint="eastAsia" w:ascii="黑体" w:hAnsi="宋体" w:eastAsia="黑体" w:cs="黑体"/>
          <w:kern w:val="2"/>
          <w:sz w:val="32"/>
          <w:szCs w:val="32"/>
          <w:lang w:val="en-US" w:eastAsia="zh-CN" w:bidi="ar"/>
        </w:rPr>
        <w:t>那曲</w:t>
      </w:r>
      <w:r>
        <w:rPr>
          <w:rFonts w:hint="eastAsia" w:ascii="黑体" w:hAnsi="宋体" w:eastAsia="黑体" w:cs="黑体"/>
          <w:color w:val="000000"/>
          <w:kern w:val="0"/>
          <w:sz w:val="32"/>
          <w:szCs w:val="32"/>
          <w:lang w:val="en-US" w:eastAsia="zh-CN" w:bidi="ar"/>
        </w:rPr>
        <w:t>市人民检察院概况</w:t>
      </w:r>
    </w:p>
    <w:p>
      <w:pPr>
        <w:keepNext w:val="0"/>
        <w:keepLines w:val="0"/>
        <w:pageBreakBefore w:val="0"/>
        <w:widowControl/>
        <w:suppressLineNumbers w:val="0"/>
        <w:kinsoku/>
        <w:wordWrap/>
        <w:overflowPunct/>
        <w:topLinePunct w:val="0"/>
        <w:bidi w:val="0"/>
        <w:spacing w:before="0" w:beforeAutospacing="0" w:after="0" w:afterAutospacing="0" w:line="540" w:lineRule="exact"/>
        <w:ind w:right="0" w:firstLine="640" w:firstLineChars="200"/>
        <w:jc w:val="left"/>
        <w:textAlignment w:val="auto"/>
        <w:rPr>
          <w:rFonts w:hint="eastAsia" w:ascii="黑体" w:hAnsi="黑体" w:eastAsia="黑体" w:cs="黑体"/>
          <w:color w:val="000000"/>
          <w:kern w:val="0"/>
          <w:sz w:val="32"/>
          <w:szCs w:val="32"/>
          <w:lang w:val="en-US"/>
        </w:rPr>
      </w:pPr>
      <w:r>
        <w:rPr>
          <w:rFonts w:hint="eastAsia" w:ascii="黑体" w:hAnsi="黑体" w:eastAsia="黑体" w:cs="黑体"/>
          <w:color w:val="000000"/>
          <w:kern w:val="0"/>
          <w:sz w:val="32"/>
          <w:szCs w:val="32"/>
          <w:lang w:val="en-US" w:eastAsia="zh-CN" w:bidi="ar"/>
        </w:rPr>
        <w:t>一、部门决算单位构成</w:t>
      </w:r>
    </w:p>
    <w:p>
      <w:pPr>
        <w:keepNext w:val="0"/>
        <w:keepLines w:val="0"/>
        <w:pageBreakBefore w:val="0"/>
        <w:widowControl/>
        <w:suppressLineNumbers w:val="0"/>
        <w:kinsoku/>
        <w:wordWrap/>
        <w:overflowPunct/>
        <w:topLinePunct w:val="0"/>
        <w:bidi w:val="0"/>
        <w:spacing w:before="0" w:beforeAutospacing="0" w:after="0" w:afterAutospacing="0" w:line="540" w:lineRule="exact"/>
        <w:ind w:left="0" w:right="0" w:firstLine="525"/>
        <w:jc w:val="left"/>
        <w:textAlignment w:val="auto"/>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bidi="ar"/>
        </w:rPr>
        <w:t>纳入那曲市人民检察院2021年度部门决算编制范围的单位只有本单位。</w:t>
      </w:r>
    </w:p>
    <w:p>
      <w:pPr>
        <w:keepNext w:val="0"/>
        <w:keepLines w:val="0"/>
        <w:pageBreakBefore w:val="0"/>
        <w:widowControl/>
        <w:suppressLineNumbers w:val="0"/>
        <w:kinsoku/>
        <w:wordWrap/>
        <w:overflowPunct/>
        <w:topLinePunct w:val="0"/>
        <w:bidi w:val="0"/>
        <w:spacing w:before="0" w:beforeAutospacing="0" w:after="0" w:afterAutospacing="0" w:line="540" w:lineRule="exact"/>
        <w:ind w:right="0" w:firstLine="640" w:firstLineChars="200"/>
        <w:jc w:val="left"/>
        <w:textAlignment w:val="auto"/>
        <w:rPr>
          <w:rFonts w:hint="eastAsia" w:ascii="黑体" w:hAnsi="黑体" w:eastAsia="黑体" w:cs="黑体"/>
          <w:color w:val="000000"/>
          <w:kern w:val="0"/>
          <w:sz w:val="32"/>
          <w:szCs w:val="32"/>
          <w:lang w:val="en-US"/>
        </w:rPr>
      </w:pPr>
      <w:r>
        <w:rPr>
          <w:rFonts w:hint="eastAsia" w:ascii="黑体" w:hAnsi="黑体" w:eastAsia="黑体" w:cs="黑体"/>
          <w:color w:val="000000"/>
          <w:kern w:val="0"/>
          <w:sz w:val="32"/>
          <w:szCs w:val="32"/>
          <w:lang w:val="en-US" w:eastAsia="zh-CN" w:bidi="ar"/>
        </w:rPr>
        <w:t>二、部门职责和机构设置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40" w:lineRule="exact"/>
        <w:ind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（一）部门职责：</w:t>
      </w:r>
      <w:r>
        <w:rPr>
          <w:rFonts w:hint="eastAsia" w:ascii="仿宋" w:hAnsi="仿宋" w:eastAsia="仿宋" w:cs="仿宋"/>
          <w:kern w:val="2"/>
          <w:sz w:val="32"/>
          <w:szCs w:val="32"/>
          <w:lang w:val="en-US" w:eastAsia="zh-Hans" w:bidi="ar-SA"/>
        </w:rPr>
        <w:t>那曲市人民检察院是国家法律监督机关，坚持党对检察工作的绝对领导，接受最高人民检察院和自治区人民检察院的领导，领导所辖各基层人民检察院的工作，对那曲市人民代表大会和那曲市人民代表大会常务委员会负责并报告工作。</w:t>
      </w:r>
      <w:r>
        <w:rPr>
          <w:rFonts w:hint="eastAsia" w:ascii="仿宋" w:hAnsi="仿宋" w:eastAsia="仿宋" w:cs="仿宋"/>
          <w:kern w:val="2"/>
          <w:sz w:val="32"/>
          <w:szCs w:val="32"/>
          <w:lang w:val="en-US" w:eastAsia="zh-CN" w:bidi="ar-SA"/>
        </w:rPr>
        <w:t>其主要职责是：</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Hans"/>
        </w:rPr>
      </w:pPr>
      <w:r>
        <w:rPr>
          <w:rFonts w:hint="eastAsia" w:ascii="楷体" w:hAnsi="楷体" w:eastAsia="楷体" w:cs="楷体"/>
          <w:sz w:val="32"/>
          <w:szCs w:val="32"/>
          <w:lang w:val="en-US" w:eastAsia="zh-CN"/>
        </w:rPr>
        <w:t>1、</w:t>
      </w:r>
      <w:r>
        <w:rPr>
          <w:rFonts w:hint="eastAsia" w:ascii="楷体" w:hAnsi="楷体" w:eastAsia="楷体" w:cs="楷体"/>
          <w:sz w:val="32"/>
          <w:szCs w:val="32"/>
          <w:lang w:val="en-US" w:eastAsia="zh-Hans"/>
        </w:rPr>
        <w:t>坚持以习近平新时代中国特色社会主义思想为指导，深入贯彻落实习近平总书记关于治边稳藏的重要论述和西藏工作的系列重要指示批示精神，贯彻落实党的路线方针政策和决策部署，统一全市检察机关思想和行动，增强“四个意识”、坚定“四个自信”、做到“两个维护”。</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Hans"/>
        </w:rPr>
      </w:pPr>
      <w:r>
        <w:rPr>
          <w:rFonts w:hint="eastAsia" w:ascii="楷体" w:hAnsi="楷体" w:eastAsia="楷体" w:cs="楷体"/>
          <w:sz w:val="32"/>
          <w:szCs w:val="32"/>
          <w:lang w:val="en-US" w:eastAsia="zh-CN"/>
        </w:rPr>
        <w:t>2、</w:t>
      </w:r>
      <w:r>
        <w:rPr>
          <w:rFonts w:hint="eastAsia" w:ascii="楷体" w:hAnsi="楷体" w:eastAsia="楷体" w:cs="楷体"/>
          <w:sz w:val="32"/>
          <w:szCs w:val="32"/>
          <w:lang w:val="en-US" w:eastAsia="zh-Hans"/>
        </w:rPr>
        <w:t>依法向那曲市人民代表大会及其常务委员会提出议案。</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Hans"/>
        </w:rPr>
      </w:pPr>
      <w:r>
        <w:rPr>
          <w:rFonts w:hint="eastAsia" w:ascii="楷体" w:hAnsi="楷体" w:eastAsia="楷体" w:cs="楷体"/>
          <w:sz w:val="32"/>
          <w:szCs w:val="32"/>
          <w:lang w:val="en-US" w:eastAsia="zh-CN"/>
        </w:rPr>
        <w:t>3、</w:t>
      </w:r>
      <w:r>
        <w:rPr>
          <w:rFonts w:hint="eastAsia" w:ascii="楷体" w:hAnsi="楷体" w:eastAsia="楷体" w:cs="楷体"/>
          <w:sz w:val="32"/>
          <w:szCs w:val="32"/>
          <w:lang w:val="en-US" w:eastAsia="zh-Hans"/>
        </w:rPr>
        <w:t>领导所辖各基层人民检察院工作。贯彻执行最高人民检察院和自治区人民检察院工作部署，对下级检察院相关业务进行指导，部署全市检察工作任务。</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w:t>
      </w:r>
      <w:r>
        <w:rPr>
          <w:rFonts w:hint="eastAsia" w:ascii="楷体" w:hAnsi="楷体" w:eastAsia="楷体" w:cs="楷体"/>
          <w:sz w:val="32"/>
          <w:szCs w:val="32"/>
          <w:lang w:val="en-US" w:eastAsia="zh-Hans"/>
        </w:rPr>
        <w:t>依照法律规定对由那曲市人民检察院直接受理的刑事案件行使侦查权，领导所辖各基层人民检察院开展对依照法律规定由人民检察院直接受理的刑事案件的侦查工作</w:t>
      </w:r>
      <w:r>
        <w:rPr>
          <w:rFonts w:hint="eastAsia" w:ascii="楷体" w:hAnsi="楷体" w:eastAsia="楷体" w:cs="楷体"/>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Hans"/>
        </w:rPr>
      </w:pPr>
      <w:r>
        <w:rPr>
          <w:rFonts w:hint="eastAsia" w:ascii="楷体" w:hAnsi="楷体" w:eastAsia="楷体" w:cs="楷体"/>
          <w:sz w:val="32"/>
          <w:szCs w:val="32"/>
          <w:lang w:val="en-US" w:eastAsia="zh-CN"/>
        </w:rPr>
        <w:t>5、</w:t>
      </w:r>
      <w:r>
        <w:rPr>
          <w:rFonts w:hint="eastAsia" w:ascii="楷体" w:hAnsi="楷体" w:eastAsia="楷体" w:cs="楷体"/>
          <w:sz w:val="32"/>
          <w:szCs w:val="32"/>
          <w:lang w:val="en-US" w:eastAsia="zh-Hans"/>
        </w:rPr>
        <w:t>对全市性的重大刑事案件依法审查批准逮捕、决定逮捕、提起公诉，领导所辖各基层人民检察院开展对刑事犯罪案件的审查批准逮捕、决定逮捕、提起公诉工作。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6、</w:t>
      </w:r>
      <w:r>
        <w:rPr>
          <w:rFonts w:hint="eastAsia" w:ascii="楷体" w:hAnsi="楷体" w:eastAsia="楷体" w:cs="楷体"/>
          <w:sz w:val="32"/>
          <w:szCs w:val="32"/>
          <w:lang w:val="en-US" w:eastAsia="zh-Hans"/>
        </w:rPr>
        <w:t>负责应由那曲市人民检察院承办的刑事、民事、行政诉讼活动及刑事、民事、行政判决和裁定等生效法律文书执行的法律监督工作，领导所辖各基层人民检察院对刑事、民事、行政诉讼活动及判决和裁定等生效法律文书执行的法律监督工作。</w:t>
      </w:r>
      <w:r>
        <w:rPr>
          <w:rFonts w:hint="eastAsia" w:ascii="楷体" w:hAnsi="楷体" w:eastAsia="楷体" w:cs="楷体"/>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Hans"/>
        </w:rPr>
      </w:pPr>
      <w:r>
        <w:rPr>
          <w:rFonts w:hint="eastAsia" w:ascii="楷体" w:hAnsi="楷体" w:eastAsia="楷体" w:cs="楷体"/>
          <w:sz w:val="32"/>
          <w:szCs w:val="32"/>
          <w:lang w:val="en-US" w:eastAsia="zh-CN"/>
        </w:rPr>
        <w:t>7、</w:t>
      </w:r>
      <w:r>
        <w:rPr>
          <w:rFonts w:hint="eastAsia" w:ascii="楷体" w:hAnsi="楷体" w:eastAsia="楷体" w:cs="楷体"/>
          <w:sz w:val="32"/>
          <w:szCs w:val="32"/>
          <w:lang w:val="en-US" w:eastAsia="zh-Hans"/>
        </w:rPr>
        <w:t>负责应由那曲市人民检察院承办的提起公益诉讼工作，领导所辖各基层人民检察院开展提起公益诉讼工作。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Hans"/>
        </w:rPr>
      </w:pPr>
      <w:r>
        <w:rPr>
          <w:rFonts w:hint="eastAsia" w:ascii="楷体" w:hAnsi="楷体" w:eastAsia="楷体" w:cs="楷体"/>
          <w:sz w:val="32"/>
          <w:szCs w:val="32"/>
          <w:lang w:val="en-US" w:eastAsia="zh-CN"/>
        </w:rPr>
        <w:t>8、</w:t>
      </w:r>
      <w:r>
        <w:rPr>
          <w:rFonts w:hint="eastAsia" w:ascii="楷体" w:hAnsi="楷体" w:eastAsia="楷体" w:cs="楷体"/>
          <w:sz w:val="32"/>
          <w:szCs w:val="32"/>
          <w:lang w:val="en-US" w:eastAsia="zh-Hans"/>
        </w:rPr>
        <w:t>负责应由那曲市人民检察院承办的对看守所等执法活动的法律监督工作，领导所辖各基层人民检察院开展对看守所等执法活动的法律监督工作。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Hans"/>
        </w:rPr>
      </w:pPr>
      <w:r>
        <w:rPr>
          <w:rFonts w:hint="eastAsia" w:ascii="楷体" w:hAnsi="楷体" w:eastAsia="楷体" w:cs="楷体"/>
          <w:sz w:val="32"/>
          <w:szCs w:val="32"/>
          <w:lang w:val="en-US" w:eastAsia="zh-CN"/>
        </w:rPr>
        <w:t>9、</w:t>
      </w:r>
      <w:r>
        <w:rPr>
          <w:rFonts w:hint="eastAsia" w:ascii="楷体" w:hAnsi="楷体" w:eastAsia="楷体" w:cs="楷体"/>
          <w:sz w:val="32"/>
          <w:szCs w:val="32"/>
          <w:lang w:val="en-US" w:eastAsia="zh-Hans"/>
        </w:rPr>
        <w:t>受理向那曲市人民检察院的控告、申诉和举报，领导所辖各基层人民检察院的控告申诉检察工作。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Hans"/>
        </w:rPr>
      </w:pPr>
      <w:r>
        <w:rPr>
          <w:rFonts w:hint="eastAsia" w:ascii="楷体" w:hAnsi="楷体" w:eastAsia="楷体" w:cs="楷体"/>
          <w:sz w:val="32"/>
          <w:szCs w:val="32"/>
          <w:lang w:val="en-US" w:eastAsia="zh-CN"/>
        </w:rPr>
        <w:t>10、</w:t>
      </w:r>
      <w:r>
        <w:rPr>
          <w:rFonts w:hint="eastAsia" w:ascii="楷体" w:hAnsi="楷体" w:eastAsia="楷体" w:cs="楷体"/>
          <w:sz w:val="32"/>
          <w:szCs w:val="32"/>
          <w:lang w:val="en-US" w:eastAsia="zh-Hans"/>
        </w:rPr>
        <w:t>对所辖各基层人民检察院在行使检察权中作出的决定进行审查，纠正错误决定。</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Hans"/>
        </w:rPr>
      </w:pPr>
      <w:r>
        <w:rPr>
          <w:rFonts w:hint="eastAsia" w:ascii="楷体" w:hAnsi="楷体" w:eastAsia="楷体" w:cs="楷体"/>
          <w:sz w:val="32"/>
          <w:szCs w:val="32"/>
          <w:lang w:val="en-US" w:eastAsia="zh-CN"/>
        </w:rPr>
        <w:t xml:space="preserve"> 11、</w:t>
      </w:r>
      <w:r>
        <w:rPr>
          <w:rFonts w:hint="eastAsia" w:ascii="楷体" w:hAnsi="楷体" w:eastAsia="楷体" w:cs="楷体"/>
          <w:sz w:val="32"/>
          <w:szCs w:val="32"/>
          <w:lang w:val="en-US" w:eastAsia="zh-Hans"/>
        </w:rPr>
        <w:t>组织指导全市检察机关的理论研究工作。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12、</w:t>
      </w:r>
      <w:r>
        <w:rPr>
          <w:rFonts w:hint="eastAsia" w:ascii="楷体" w:hAnsi="楷体" w:eastAsia="楷体" w:cs="楷体"/>
          <w:sz w:val="32"/>
          <w:szCs w:val="32"/>
          <w:lang w:val="en-US" w:eastAsia="zh-Hans"/>
        </w:rPr>
        <w:t>负责全市检察机关队伍建设和思想政治工作</w:t>
      </w:r>
      <w:r>
        <w:rPr>
          <w:rFonts w:hint="eastAsia" w:ascii="楷体" w:hAnsi="楷体" w:eastAsia="楷体" w:cs="楷体"/>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Hans"/>
        </w:rPr>
      </w:pPr>
      <w:r>
        <w:rPr>
          <w:rFonts w:hint="eastAsia" w:ascii="楷体" w:hAnsi="楷体" w:eastAsia="楷体" w:cs="楷体"/>
          <w:sz w:val="32"/>
          <w:szCs w:val="32"/>
          <w:lang w:val="en-US" w:eastAsia="zh-CN"/>
        </w:rPr>
        <w:t>13、</w:t>
      </w:r>
      <w:r>
        <w:rPr>
          <w:rFonts w:hint="eastAsia" w:ascii="楷体" w:hAnsi="楷体" w:eastAsia="楷体" w:cs="楷体"/>
          <w:sz w:val="32"/>
          <w:szCs w:val="32"/>
          <w:lang w:val="en-US" w:eastAsia="zh-Hans"/>
        </w:rPr>
        <w:t>协同那曲市主管部门管理和考核所辖各基层人民检察院除检察长以外的其他领导班子成员。</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color w:val="auto"/>
          <w:kern w:val="0"/>
          <w:sz w:val="32"/>
          <w:szCs w:val="32"/>
        </w:rPr>
      </w:pPr>
      <w:r>
        <w:rPr>
          <w:rFonts w:hint="eastAsia" w:ascii="楷体" w:hAnsi="楷体" w:eastAsia="楷体" w:cs="楷体"/>
          <w:sz w:val="32"/>
          <w:szCs w:val="32"/>
          <w:lang w:val="en-US" w:eastAsia="zh-CN"/>
        </w:rPr>
        <w:t>14、</w:t>
      </w:r>
      <w:r>
        <w:rPr>
          <w:rFonts w:hint="eastAsia" w:ascii="楷体" w:hAnsi="楷体" w:eastAsia="楷体" w:cs="楷体"/>
          <w:sz w:val="32"/>
          <w:szCs w:val="32"/>
          <w:lang w:val="en-US" w:eastAsia="zh-Hans"/>
        </w:rPr>
        <w:t>领导全市检察机关的检务督察工作。</w:t>
      </w:r>
      <w:r>
        <w:rPr>
          <w:rFonts w:hint="eastAsia" w:ascii="楷体" w:hAnsi="楷体" w:eastAsia="楷体" w:cs="楷体"/>
          <w:sz w:val="32"/>
          <w:szCs w:val="32"/>
          <w:lang w:val="en-US" w:eastAsia="zh-Hans"/>
        </w:rPr>
        <w:cr/>
      </w:r>
      <w:r>
        <w:rPr>
          <w:rFonts w:hint="eastAsia" w:ascii="楷体" w:hAnsi="楷体" w:eastAsia="楷体" w:cs="楷体"/>
          <w:sz w:val="32"/>
          <w:szCs w:val="32"/>
          <w:lang w:val="en-US" w:eastAsia="zh-Hans"/>
        </w:rPr>
        <w:t>
</w:t>
      </w:r>
      <w:r>
        <w:rPr>
          <w:rFonts w:hint="eastAsia" w:ascii="楷体" w:hAnsi="楷体" w:eastAsia="楷体" w:cs="楷体"/>
          <w:sz w:val="32"/>
          <w:szCs w:val="32"/>
          <w:lang w:val="en-US" w:eastAsia="zh-CN"/>
        </w:rPr>
        <w:t xml:space="preserve">  15、</w:t>
      </w:r>
      <w:r>
        <w:rPr>
          <w:rFonts w:hint="eastAsia" w:ascii="楷体" w:hAnsi="楷体" w:eastAsia="楷体" w:cs="楷体"/>
          <w:sz w:val="32"/>
          <w:szCs w:val="32"/>
          <w:lang w:val="en-US" w:eastAsia="zh-Hans"/>
        </w:rPr>
        <w:t>规划和指导全市检察机关的财务装备工作，指导全市检察机关的检察技术信息工作。</w:t>
      </w:r>
      <w:r>
        <w:rPr>
          <w:rFonts w:hint="eastAsia" w:ascii="楷体" w:hAnsi="楷体" w:eastAsia="楷体" w:cs="楷体"/>
          <w:color w:val="auto"/>
          <w:kern w:val="0"/>
          <w:sz w:val="32"/>
          <w:szCs w:val="32"/>
        </w:rPr>
        <w:t xml:space="preserve"> </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sz w:val="32"/>
          <w:szCs w:val="32"/>
          <w:lang w:val="en-US" w:eastAsia="zh-CN"/>
        </w:rPr>
        <w:t>16、负责其他应当由那曲市人民检察院承办的事项。</w:t>
      </w:r>
    </w:p>
    <w:p>
      <w:pPr>
        <w:pStyle w:val="7"/>
        <w:keepNext w:val="0"/>
        <w:keepLines w:val="0"/>
        <w:pageBreakBefore w:val="0"/>
        <w:shd w:val="clear" w:color="auto" w:fill="FFFFFF"/>
        <w:kinsoku/>
        <w:wordWrap/>
        <w:overflowPunct/>
        <w:topLinePunct w:val="0"/>
        <w:bidi w:val="0"/>
        <w:spacing w:beforeAutospacing="0" w:afterAutospacing="0" w:line="540" w:lineRule="exact"/>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部门机构设置</w:t>
      </w:r>
      <w:r>
        <w:rPr>
          <w:rFonts w:hint="eastAsia" w:ascii="楷体" w:hAnsi="楷体" w:eastAsia="楷体" w:cs="楷体"/>
          <w:color w:val="auto"/>
          <w:sz w:val="32"/>
          <w:szCs w:val="32"/>
        </w:rPr>
        <w:t>：</w:t>
      </w:r>
      <w:r>
        <w:rPr>
          <w:rFonts w:hint="eastAsia" w:ascii="楷体" w:hAnsi="楷体" w:eastAsia="楷体" w:cs="楷体"/>
          <w:sz w:val="32"/>
          <w:szCs w:val="32"/>
          <w:lang w:val="en-US" w:eastAsia="zh-CN"/>
        </w:rPr>
        <w:t>我院全称那曲市人民检察院那曲市属于行政机构。</w:t>
      </w:r>
    </w:p>
    <w:p>
      <w:pPr>
        <w:pStyle w:val="7"/>
        <w:keepNext w:val="0"/>
        <w:keepLines w:val="0"/>
        <w:pageBreakBefore w:val="0"/>
        <w:shd w:val="clear" w:color="auto" w:fill="FFFFFF"/>
        <w:kinsoku/>
        <w:wordWrap/>
        <w:overflowPunct/>
        <w:topLinePunct w:val="0"/>
        <w:bidi w:val="0"/>
        <w:spacing w:beforeAutospacing="0" w:afterAutospacing="0" w:line="54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(二)机构设置</w:t>
      </w:r>
    </w:p>
    <w:p>
      <w:pPr>
        <w:keepNext w:val="0"/>
        <w:keepLines w:val="0"/>
        <w:pageBreakBefore w:val="0"/>
        <w:kinsoku/>
        <w:wordWrap/>
        <w:overflowPunct/>
        <w:topLinePunct w:val="0"/>
        <w:bidi w:val="0"/>
        <w:spacing w:line="540" w:lineRule="exact"/>
        <w:ind w:firstLine="640" w:firstLineChars="200"/>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机构情况：共有15个内设机构，办公室、第一检察部、第二检察部、第三检察部、第四检察部、第五检察部、第六检察部、第七检察部、第八检察部、法律政策研究室（检察委员会办公室、编译科）、案件管理部、检察监督线索管理部、检务督察部（巡察工作领导小组办公室）、检务保障部（信息技术科）、政治部（机关党委、司法警察支队）。</w:t>
      </w:r>
    </w:p>
    <w:p>
      <w:pPr>
        <w:keepNext w:val="0"/>
        <w:keepLines w:val="0"/>
        <w:pageBreakBefore w:val="0"/>
        <w:kinsoku/>
        <w:wordWrap/>
        <w:overflowPunct/>
        <w:topLinePunct w:val="0"/>
        <w:bidi w:val="0"/>
        <w:spacing w:line="540" w:lineRule="exact"/>
        <w:ind w:firstLine="640" w:firstLineChars="200"/>
        <w:textAlignment w:val="auto"/>
        <w:rPr>
          <w:rFonts w:hint="eastAsia" w:ascii="楷体" w:hAnsi="楷体" w:eastAsia="楷体" w:cs="楷体"/>
          <w:sz w:val="32"/>
          <w:szCs w:val="32"/>
          <w:lang w:val="en-US" w:eastAsia="zh-CN" w:bidi="ar-SA"/>
        </w:rPr>
      </w:pPr>
      <w:r>
        <w:rPr>
          <w:rFonts w:hint="eastAsia" w:ascii="楷体" w:hAnsi="楷体" w:eastAsia="楷体" w:cs="楷体"/>
          <w:sz w:val="32"/>
          <w:szCs w:val="32"/>
          <w:lang w:val="en-US" w:eastAsia="zh-CN" w:bidi="ar-SA"/>
        </w:rPr>
        <w:t>2.编制情况：</w:t>
      </w:r>
      <w:r>
        <w:rPr>
          <w:rFonts w:hint="eastAsia" w:ascii="仿宋" w:hAnsi="仿宋" w:eastAsia="仿宋" w:cs="仿宋"/>
          <w:sz w:val="32"/>
          <w:szCs w:val="32"/>
          <w:lang w:val="en-US" w:eastAsia="zh-CN" w:bidi="ar-SA"/>
        </w:rPr>
        <w:t>人员编制数67人为行政编制。</w:t>
      </w:r>
    </w:p>
    <w:p>
      <w:pPr>
        <w:keepNext w:val="0"/>
        <w:keepLines w:val="0"/>
        <w:pageBreakBefore w:val="0"/>
        <w:kinsoku/>
        <w:wordWrap/>
        <w:overflowPunct/>
        <w:topLinePunct w:val="0"/>
        <w:bidi w:val="0"/>
        <w:spacing w:line="540" w:lineRule="exact"/>
        <w:ind w:firstLine="640" w:firstLineChars="200"/>
        <w:textAlignment w:val="auto"/>
        <w:rPr>
          <w:rFonts w:hint="eastAsia" w:ascii="仿宋" w:hAnsi="仿宋" w:eastAsia="仿宋" w:cs="仿宋"/>
          <w:sz w:val="32"/>
          <w:szCs w:val="32"/>
          <w:lang w:val="en-US" w:eastAsia="zh-CN" w:bidi="ar-SA"/>
        </w:rPr>
      </w:pPr>
      <w:r>
        <w:rPr>
          <w:rFonts w:hint="eastAsia" w:ascii="楷体" w:hAnsi="楷体" w:eastAsia="楷体" w:cs="楷体"/>
          <w:sz w:val="32"/>
          <w:szCs w:val="32"/>
          <w:lang w:val="en-US" w:eastAsia="zh-CN" w:bidi="ar-SA"/>
        </w:rPr>
        <w:t>3.人员情况：</w:t>
      </w:r>
      <w:r>
        <w:rPr>
          <w:rFonts w:hint="eastAsia" w:ascii="仿宋" w:hAnsi="仿宋" w:eastAsia="仿宋" w:cs="仿宋"/>
          <w:sz w:val="32"/>
          <w:szCs w:val="32"/>
          <w:lang w:val="en-US" w:eastAsia="zh-CN" w:bidi="ar-SA"/>
        </w:rPr>
        <w:t>职工总人数129人，其中：在职人数63人，退休人数 52人（已归口社保管理），其他财政供养人数14人，在职人数中;地级干部1人，正县级干部4人，（包括1个正县、1个调研员、2个三级高级检察官），副县级干部15人（包括1个副县，5个副调研员、9个四级高级检察官）。</w:t>
      </w:r>
    </w:p>
    <w:p>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楷体" w:hAnsi="楷体" w:eastAsia="楷体" w:cs="楷体"/>
          <w:color w:val="auto"/>
          <w:sz w:val="32"/>
          <w:szCs w:val="32"/>
        </w:rPr>
      </w:pPr>
    </w:p>
    <w:p>
      <w:pPr>
        <w:keepNext w:val="0"/>
        <w:keepLines w:val="0"/>
        <w:pageBreakBefore w:val="0"/>
        <w:kinsoku/>
        <w:wordWrap/>
        <w:overflowPunct/>
        <w:topLinePunct w:val="0"/>
        <w:bidi w:val="0"/>
        <w:spacing w:line="540" w:lineRule="exact"/>
        <w:jc w:val="center"/>
        <w:textAlignment w:val="auto"/>
        <w:rPr>
          <w:rFonts w:hint="default" w:ascii="Times New Roman" w:hAnsi="Times New Roman" w:cs="Times New Roman" w:eastAsiaTheme="majorEastAsia"/>
          <w:b/>
          <w:bCs/>
          <w:sz w:val="44"/>
          <w:szCs w:val="44"/>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黑体" w:hAnsi="宋体" w:eastAsia="黑体" w:cs="黑体"/>
          <w:kern w:val="2"/>
          <w:sz w:val="44"/>
          <w:szCs w:val="44"/>
          <w:lang w:val="en-US" w:eastAsia="zh-CN" w:bidi="ar"/>
        </w:rPr>
      </w:pPr>
      <w:r>
        <w:rPr>
          <w:rFonts w:hint="eastAsia" w:ascii="黑体" w:hAnsi="宋体" w:eastAsia="黑体" w:cs="黑体"/>
          <w:kern w:val="2"/>
          <w:sz w:val="44"/>
          <w:szCs w:val="44"/>
          <w:lang w:val="en-US" w:eastAsia="zh-CN" w:bidi="ar"/>
        </w:rPr>
        <w:t>第二部分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黑体" w:hAnsi="Times New Roman" w:eastAsia="黑体" w:cs="黑体"/>
          <w:sz w:val="32"/>
          <w:szCs w:val="32"/>
          <w:lang w:val="en-US"/>
        </w:rPr>
      </w:pPr>
      <w:r>
        <w:rPr>
          <w:rFonts w:hint="eastAsia" w:ascii="黑体" w:hAnsi="宋体" w:eastAsia="黑体" w:cs="黑体"/>
          <w:kern w:val="2"/>
          <w:sz w:val="48"/>
          <w:szCs w:val="48"/>
          <w:lang w:val="en-US" w:eastAsia="zh-CN" w:bidi="ar"/>
        </w:rPr>
        <w:t>那曲市人民检察院2021年度决算明细表</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（表格详见附件）</w:t>
      </w:r>
    </w:p>
    <w:p>
      <w:pPr>
        <w:keepNext w:val="0"/>
        <w:keepLines w:val="0"/>
        <w:pageBreakBefore w:val="0"/>
        <w:widowControl w:val="0"/>
        <w:suppressLineNumbers w:val="0"/>
        <w:kinsoku/>
        <w:wordWrap/>
        <w:overflowPunct/>
        <w:topLinePunct w:val="0"/>
        <w:bidi w:val="0"/>
        <w:spacing w:before="156" w:beforeLines="50" w:beforeAutospacing="0" w:after="156" w:afterLines="5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156" w:beforeLines="50" w:beforeAutospacing="0" w:after="156" w:afterLines="5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156" w:beforeLines="50" w:beforeAutospacing="0" w:after="156" w:afterLines="5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156" w:beforeLines="50" w:beforeAutospacing="0" w:after="156" w:afterLines="5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156" w:beforeLines="50" w:beforeAutospacing="0" w:after="156" w:afterLines="5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156" w:beforeLines="50" w:beforeAutospacing="0" w:after="156" w:afterLines="5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156" w:beforeLines="50" w:beforeAutospacing="0" w:after="156" w:afterLines="5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156" w:beforeLines="50" w:beforeAutospacing="0" w:after="156" w:afterLines="5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156" w:beforeLines="50" w:beforeAutospacing="0" w:after="156" w:afterLines="5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rFonts w:hint="eastAsia" w:ascii="黑体" w:hAnsi="宋体" w:eastAsia="黑体" w:cs="黑体"/>
          <w:sz w:val="48"/>
          <w:szCs w:val="48"/>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宋体" w:eastAsia="黑体" w:cs="黑体"/>
          <w:kern w:val="2"/>
          <w:sz w:val="48"/>
          <w:szCs w:val="48"/>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宋体" w:eastAsia="黑体" w:cs="黑体"/>
          <w:kern w:val="2"/>
          <w:sz w:val="48"/>
          <w:szCs w:val="48"/>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宋体" w:eastAsia="黑体" w:cs="黑体"/>
          <w:kern w:val="2"/>
          <w:sz w:val="48"/>
          <w:szCs w:val="48"/>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宋体" w:eastAsia="黑体" w:cs="黑体"/>
          <w:kern w:val="2"/>
          <w:sz w:val="48"/>
          <w:szCs w:val="48"/>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宋体" w:eastAsia="黑体" w:cs="黑体"/>
          <w:kern w:val="2"/>
          <w:sz w:val="48"/>
          <w:szCs w:val="48"/>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宋体" w:eastAsia="黑体" w:cs="黑体"/>
          <w:sz w:val="48"/>
          <w:szCs w:val="48"/>
          <w:lang w:val="en-US"/>
        </w:rPr>
      </w:pPr>
      <w:r>
        <w:rPr>
          <w:rFonts w:hint="eastAsia" w:ascii="黑体" w:hAnsi="宋体" w:eastAsia="黑体" w:cs="黑体"/>
          <w:kern w:val="2"/>
          <w:sz w:val="48"/>
          <w:szCs w:val="48"/>
          <w:lang w:val="en-US" w:eastAsia="zh-CN" w:bidi="ar"/>
        </w:rPr>
        <w:t>第三部分</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宋体" w:eastAsia="黑体" w:cs="黑体"/>
          <w:sz w:val="48"/>
          <w:szCs w:val="48"/>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宋体" w:eastAsia="黑体" w:cs="黑体"/>
          <w:sz w:val="48"/>
          <w:szCs w:val="48"/>
          <w:lang w:val="en-US"/>
        </w:rPr>
      </w:pPr>
      <w:r>
        <w:rPr>
          <w:rFonts w:hint="eastAsia" w:ascii="黑体" w:hAnsi="宋体" w:eastAsia="黑体" w:cs="黑体"/>
          <w:kern w:val="2"/>
          <w:sz w:val="48"/>
          <w:szCs w:val="48"/>
          <w:lang w:val="en-US" w:eastAsia="zh-CN" w:bidi="ar"/>
        </w:rPr>
        <w:t>那曲市人民检察院2021年度</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宋体" w:eastAsia="黑体" w:cs="黑体"/>
          <w:sz w:val="48"/>
          <w:szCs w:val="48"/>
          <w:lang w:val="en-US"/>
        </w:rPr>
      </w:pPr>
      <w:r>
        <w:rPr>
          <w:rFonts w:hint="eastAsia" w:ascii="黑体" w:hAnsi="宋体" w:eastAsia="黑体" w:cs="黑体"/>
          <w:kern w:val="2"/>
          <w:sz w:val="48"/>
          <w:szCs w:val="48"/>
          <w:lang w:val="en-US" w:eastAsia="zh-CN" w:bidi="ar"/>
        </w:rPr>
        <w:t>决算情况说明</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宋体" w:eastAsia="黑体" w:cs="黑体"/>
          <w:sz w:val="48"/>
          <w:szCs w:val="48"/>
          <w:lang w:val="en-US"/>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一、2021年度财政拨款收支决算情况总体说明</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    </w:t>
      </w:r>
      <w:r>
        <w:rPr>
          <w:rFonts w:hint="eastAsia" w:ascii="仿宋" w:hAnsi="仿宋" w:eastAsia="仿宋" w:cs="仿宋"/>
          <w:kern w:val="2"/>
          <w:sz w:val="32"/>
          <w:szCs w:val="32"/>
          <w:lang w:val="en-US" w:eastAsia="zh-CN" w:bidi="ar"/>
        </w:rPr>
        <w:t>我院2021年度收入合计3017.33万元其中财政拨款收入总额为2791.33万元，其他收入为226万元，上年结转结余1651.62万元，2020年度财政拨款收入总额为4074.91万元，2021年度较2020年度收入同比减少1283.58万元，下降比例为31.5%。</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sz w:val="32"/>
          <w:szCs w:val="32"/>
          <w:highlight w:val="red"/>
          <w:lang w:val="en-US"/>
        </w:rPr>
      </w:pPr>
      <w:r>
        <w:rPr>
          <w:rFonts w:hint="eastAsia" w:ascii="仿宋" w:hAnsi="仿宋" w:eastAsia="仿宋" w:cs="仿宋"/>
          <w:kern w:val="2"/>
          <w:sz w:val="32"/>
          <w:szCs w:val="32"/>
          <w:lang w:val="en-US" w:eastAsia="zh-CN" w:bidi="ar"/>
        </w:rPr>
        <w:t xml:space="preserve">2021年度财政拨款支出3439.42万元，年末结转结余1229.52万元，2020年度财政拨款支出为3019.26万元，2021年度较2020年度支出同比增加420.16万元，比例增加为13.92%。 </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二、2021年度一般公共预算当年财政拨款决算情况说明</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627" w:firstLineChars="196"/>
        <w:jc w:val="both"/>
        <w:textAlignment w:val="auto"/>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
        </w:rPr>
        <w:t>（一）一般公共预算当年财政拨款规模变化情况</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一般公共预算当年财政拨款规模与上年决算数同口径比较，无变化。</w:t>
      </w:r>
    </w:p>
    <w:p>
      <w:pPr>
        <w:keepNext w:val="0"/>
        <w:keepLines w:val="0"/>
        <w:pageBreakBefore w:val="0"/>
        <w:widowControl w:val="0"/>
        <w:numPr>
          <w:ilvl w:val="0"/>
          <w:numId w:val="2"/>
        </w:numPr>
        <w:suppressLineNumbers w:val="0"/>
        <w:kinsoku/>
        <w:wordWrap/>
        <w:overflowPunct/>
        <w:topLinePunct w:val="0"/>
        <w:bidi w:val="0"/>
        <w:spacing w:before="0" w:beforeAutospacing="0" w:after="0" w:afterAutospacing="0" w:line="540" w:lineRule="exact"/>
        <w:ind w:left="0" w:right="0" w:firstLine="627" w:firstLineChars="196"/>
        <w:jc w:val="both"/>
        <w:textAlignment w:val="auto"/>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
        </w:rPr>
        <w:t>一般公共预算当年财政拨款决算结构情况</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2021年财政拨款收入合计2791.33万元，具体包括：</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leftChars="0" w:right="0" w:rightChars="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1、一般公共服务支出3万元，占财政拨款总额的0.11%；</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leftChars="0" w:right="0" w:rightChars="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2、公共安全支出2233.98万元，占财政拨款总额的80.03%；</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leftChars="0" w:right="0" w:rightChars="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3、社会保障和就业支出224.3万元，占财政拨款总额的8.04%；</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leftChars="0" w:right="0" w:rightChars="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4、卫生健康支出132.4万元，占财政拨款总额的4.74%；</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leftChars="0" w:right="0" w:rightChars="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5、住房保障支出197.66万元，占财政拨款总额的7.08%。</w:t>
      </w:r>
    </w:p>
    <w:p>
      <w:pPr>
        <w:keepNext w:val="0"/>
        <w:keepLines w:val="0"/>
        <w:pageBreakBefore w:val="0"/>
        <w:widowControl w:val="0"/>
        <w:numPr>
          <w:ilvl w:val="0"/>
          <w:numId w:val="3"/>
        </w:numPr>
        <w:suppressLineNumbers w:val="0"/>
        <w:kinsoku/>
        <w:wordWrap/>
        <w:overflowPunct/>
        <w:topLinePunct w:val="0"/>
        <w:bidi w:val="0"/>
        <w:spacing w:before="0" w:beforeAutospacing="0" w:after="0" w:afterAutospacing="0" w:line="540" w:lineRule="exact"/>
        <w:ind w:left="0" w:right="0" w:firstLine="627" w:firstLineChars="196"/>
        <w:jc w:val="both"/>
        <w:textAlignment w:val="auto"/>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
        </w:rPr>
        <w:t>一般公共预算当年财政拨款决算具体使用情况</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2021年度财政拨款支出合计3439.42万元，具体包括：</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1、一般公共服务（201类）组织事务（款20132）其他组织事务（2013299项）支出32.09万元；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2、公共安全支出（204类）检察（20404款）行政运行（2040401项）支出2033.44万元；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3、公共安全支出（204类）公安（20402款）其他公安支出（2040299项）支出21.42万元；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4、公共安全支出（204类）检察（20404款）其他检察支出（2040499项）支出507.6万元；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5、社社会保障和就业支出（208类）行政事业单位养老支出（20805款）行政单位离退休（2080501项）支出5.83万元；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6、社会保障和就业支出（208类）行政事业单位养老支出（20805款）机关事业单位基本养老保险缴费（2080505项）支出200.31万元；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7、社会保障和就业支出（208类）就业补助款（20807款）公益性岗位补贴（2080705项）支出13.23万元；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8、社会保障和就业支出（208类）抚恤（20808款）死亡抚恤支出（2080801项）支出6.17万元；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9、卫生健康支出（210类）公共卫生（21004款）其他公共卫生支出（2100499项）支出0.16万元；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10、卫生健康支出（210类）行政事业单位医疗（21011款）行政单位医疗（2101101项）支出100.52万元；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11、卫生健康支出（210类）行政事业单位医疗（21011款）公务员医疗补助（2101103项）支出24.15万元；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12、卫生健康支出（210类）行政事业单位医疗（21011款）其他行政单位医疗支出（2101199项）支出3.9万元；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13、卫生健康支出（210类）其他卫生健康支出（21099款）其他卫生健康支出（2109999项）支出3.84万元；</w:t>
      </w:r>
    </w:p>
    <w:p>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540" w:lineRule="exact"/>
        <w:ind w:right="0" w:rightChars="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14、住房保障支出（221类）住房改革支出（22102款）住房公积金（2210201项）197.66万元。</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627" w:firstLineChars="196"/>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三、2021年度一般公共预算基本支出情况说明</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2021年度一般公共预算基本支出合计数3150.33</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万元，其中工资福利支出2729.08万元、占一般公共预算基本支出86.63%；商品和服务支出377.35万元、占一般公共预算基本支出11.98%；对个人和家庭的补助支出43.89万元、占一般公共预算基本支出1.39%。</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工资福利支出包括：基本工资274.99万元，津贴补贴1565.34万元，绩效工资145.76万元，伙食补助费36.6万元，机关事业单位基本养老保险费200.31万元，职工基本医疗保险缴费100.52万元，公务员医疗补助缴费24.15万元，其他社会保障缴费11.69万元，住房公积金197.71万元，医疗费5.56万元，其他工资福利支出166.46万元。</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商品和服务支出包括：办公费89.88万元，印刷费23.43万元，水费5.28万元，电费11.05万元，邮电费0.12万元，差旅费76.06万元，维修费16.3万元，培训费12.08万元，被装购置费56.41万元、劳务费0.35万元、委托业务费0.3万元，工会经费29.76万元，公务用车运行维护费42.33万元，其他商品和服务支出14万元。</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对个人和家庭的补助支出包括：退休费5.83万元、抚恤金6.17万元，生活补助30.29万元，救济费1万元，其他个人和家庭的补助支出0.6万元。</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四、2021年“三公”经费预算情况说明</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2021年三公经费总支出32万元，同比减少19.22万元，下降比例为37.52%。其中公务用车费32万元，减少16.82元，下降比例为34.45%；公务接待费0万元，同比减少3.32万元，下降比例100%。</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kern w:val="2"/>
          <w:sz w:val="32"/>
          <w:szCs w:val="32"/>
          <w:lang w:val="en-US" w:eastAsia="zh-CN" w:bidi="ar"/>
        </w:rPr>
        <w:t>2021年度我院无因公出国（境）团组数及人数，公务接待批次人次0，公务用车购置数为0，,公务用车保有量为11</w:t>
      </w:r>
      <w:r>
        <w:rPr>
          <w:rFonts w:hint="eastAsia" w:ascii="仿宋" w:hAnsi="仿宋" w:eastAsia="仿宋" w:cs="仿宋"/>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五、2021年度政府性基金决算支出情况说明</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我院2021年度无政府性基金支出</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六、2021年度国有资本经营预算财政拨款支出情况说明</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我院2021年度无国有资本经营预算财政拨款支出。</w:t>
      </w:r>
    </w:p>
    <w:p>
      <w:pPr>
        <w:keepNext w:val="0"/>
        <w:keepLines w:val="0"/>
        <w:pageBreakBefore w:val="0"/>
        <w:numPr>
          <w:ilvl w:val="0"/>
          <w:numId w:val="0"/>
        </w:numPr>
        <w:kinsoku/>
        <w:wordWrap/>
        <w:overflowPunct/>
        <w:topLinePunct w:val="0"/>
        <w:bidi w:val="0"/>
        <w:spacing w:beforeAutospacing="0" w:afterAutospacing="0" w:line="540" w:lineRule="exact"/>
        <w:ind w:left="630" w:leftChars="0"/>
        <w:textAlignment w:val="auto"/>
        <w:rPr>
          <w:rFonts w:hint="eastAsia" w:ascii="黑体" w:hAnsi="宋体" w:eastAsia="黑体"/>
          <w:b/>
          <w:sz w:val="32"/>
          <w:szCs w:val="32"/>
          <w:lang w:val="en-US" w:eastAsia="zh-CN"/>
        </w:rPr>
      </w:pPr>
      <w:r>
        <w:rPr>
          <w:rFonts w:hint="eastAsia" w:ascii="黑体" w:hAnsi="宋体" w:eastAsia="黑体"/>
          <w:b/>
          <w:sz w:val="32"/>
          <w:szCs w:val="32"/>
          <w:lang w:val="en-US" w:eastAsia="zh-CN"/>
        </w:rPr>
        <w:t>七、2021年度收支决算情况总体说明</w:t>
      </w:r>
    </w:p>
    <w:p>
      <w:pPr>
        <w:keepNext w:val="0"/>
        <w:keepLines w:val="0"/>
        <w:pageBreakBefore w:val="0"/>
        <w:numPr>
          <w:ilvl w:val="0"/>
          <w:numId w:val="0"/>
        </w:numPr>
        <w:kinsoku/>
        <w:wordWrap/>
        <w:overflowPunct/>
        <w:topLinePunct w:val="0"/>
        <w:bidi w:val="0"/>
        <w:spacing w:beforeAutospacing="0" w:afterAutospacing="0" w:line="540" w:lineRule="exact"/>
        <w:ind w:left="630" w:leftChars="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2021年我院本年收入决算数为3017.33万元，上年结</w:t>
      </w:r>
    </w:p>
    <w:p>
      <w:pPr>
        <w:keepNext w:val="0"/>
        <w:keepLines w:val="0"/>
        <w:pageBreakBefore w:val="0"/>
        <w:numPr>
          <w:ilvl w:val="0"/>
          <w:numId w:val="0"/>
        </w:numPr>
        <w:kinsoku/>
        <w:wordWrap/>
        <w:overflowPunct/>
        <w:topLinePunct w:val="0"/>
        <w:bidi w:val="0"/>
        <w:spacing w:beforeAutospacing="0" w:afterAutospacing="0" w:line="540" w:lineRule="exact"/>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转1651.62万元；本年支出决算数为3439.42万元,年末结转结余1229.52万元。</w:t>
      </w:r>
    </w:p>
    <w:p>
      <w:pPr>
        <w:keepNext w:val="0"/>
        <w:keepLines w:val="0"/>
        <w:pageBreakBefore w:val="0"/>
        <w:numPr>
          <w:ilvl w:val="0"/>
          <w:numId w:val="0"/>
        </w:numPr>
        <w:kinsoku/>
        <w:wordWrap/>
        <w:overflowPunct/>
        <w:topLinePunct w:val="0"/>
        <w:bidi w:val="0"/>
        <w:spacing w:beforeAutospacing="0" w:afterAutospacing="0" w:line="540" w:lineRule="exact"/>
        <w:ind w:left="630" w:leftChars="0"/>
        <w:textAlignment w:val="auto"/>
        <w:rPr>
          <w:rFonts w:hint="eastAsia" w:ascii="黑体" w:hAnsi="宋体" w:eastAsia="黑体"/>
          <w:b/>
          <w:sz w:val="32"/>
          <w:szCs w:val="32"/>
          <w:lang w:val="en-US" w:eastAsia="zh-CN"/>
        </w:rPr>
      </w:pPr>
      <w:r>
        <w:rPr>
          <w:rFonts w:hint="eastAsia" w:ascii="黑体" w:hAnsi="宋体" w:eastAsia="黑体"/>
          <w:b/>
          <w:sz w:val="32"/>
          <w:szCs w:val="32"/>
          <w:lang w:val="en-US" w:eastAsia="zh-CN"/>
        </w:rPr>
        <w:t>八、2021年度收入决算情况说明</w:t>
      </w:r>
    </w:p>
    <w:p>
      <w:pPr>
        <w:pStyle w:val="7"/>
        <w:keepNext w:val="0"/>
        <w:keepLines w:val="0"/>
        <w:pageBreakBefore w:val="0"/>
        <w:kinsoku/>
        <w:wordWrap/>
        <w:overflowPunct/>
        <w:topLinePunct w:val="0"/>
        <w:bidi w:val="0"/>
        <w:spacing w:beforeAutospacing="0" w:afterAutospacing="0" w:line="540" w:lineRule="exact"/>
        <w:ind w:firstLine="640"/>
        <w:jc w:val="left"/>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2021年我院收入决算数为3017.33万元，其中财政拨款收入2791.33万元、其他收入226.00万元。一般公共服务3万元、公共安全拨款收入2459.98万元、社会保障和就业224.3万元、卫生健康支出132.4万元、住房保障197.66万元。</w:t>
      </w:r>
    </w:p>
    <w:p>
      <w:pPr>
        <w:keepNext w:val="0"/>
        <w:keepLines w:val="0"/>
        <w:pageBreakBefore w:val="0"/>
        <w:numPr>
          <w:ilvl w:val="0"/>
          <w:numId w:val="0"/>
        </w:numPr>
        <w:kinsoku/>
        <w:wordWrap/>
        <w:overflowPunct/>
        <w:topLinePunct w:val="0"/>
        <w:bidi w:val="0"/>
        <w:spacing w:beforeAutospacing="0" w:afterAutospacing="0" w:line="540" w:lineRule="exact"/>
        <w:ind w:left="630" w:leftChars="0"/>
        <w:textAlignment w:val="auto"/>
        <w:rPr>
          <w:rFonts w:hint="eastAsia" w:ascii="黑体" w:hAnsi="宋体" w:eastAsia="黑体"/>
          <w:b/>
          <w:sz w:val="32"/>
          <w:szCs w:val="32"/>
          <w:lang w:val="en-US" w:eastAsia="zh-CN"/>
        </w:rPr>
      </w:pPr>
      <w:r>
        <w:rPr>
          <w:rFonts w:hint="eastAsia" w:ascii="黑体" w:hAnsi="宋体" w:eastAsia="黑体"/>
          <w:b/>
          <w:sz w:val="32"/>
          <w:szCs w:val="32"/>
          <w:lang w:val="en-US" w:eastAsia="zh-CN"/>
        </w:rPr>
        <w:t>九、2021年度支出决算情况说明</w:t>
      </w:r>
    </w:p>
    <w:p>
      <w:pPr>
        <w:pStyle w:val="7"/>
        <w:keepNext w:val="0"/>
        <w:keepLines w:val="0"/>
        <w:pageBreakBefore w:val="0"/>
        <w:kinsoku/>
        <w:wordWrap/>
        <w:overflowPunct/>
        <w:topLinePunct w:val="0"/>
        <w:bidi w:val="0"/>
        <w:spacing w:beforeAutospacing="0" w:afterAutospacing="0" w:line="540" w:lineRule="exact"/>
        <w:ind w:firstLine="64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2021年度一般公共预算支出决算数为3439.42万元，其中基本支出决算数为3150.33万元，项目支出决算数为289.1万元。</w:t>
      </w:r>
    </w:p>
    <w:p>
      <w:pPr>
        <w:keepNext w:val="0"/>
        <w:keepLines w:val="0"/>
        <w:pageBreakBefore w:val="0"/>
        <w:numPr>
          <w:ilvl w:val="0"/>
          <w:numId w:val="0"/>
        </w:numPr>
        <w:kinsoku/>
        <w:wordWrap/>
        <w:overflowPunct/>
        <w:topLinePunct w:val="0"/>
        <w:bidi w:val="0"/>
        <w:spacing w:beforeAutospacing="0" w:afterAutospacing="0" w:line="540" w:lineRule="exact"/>
        <w:ind w:firstLine="640" w:firstLineChars="200"/>
        <w:textAlignment w:val="auto"/>
        <w:rPr>
          <w:rFonts w:hint="eastAsia" w:ascii="黑体" w:hAnsi="黑体" w:eastAsia="黑体"/>
          <w:sz w:val="32"/>
          <w:szCs w:val="32"/>
        </w:rPr>
      </w:pPr>
      <w:r>
        <w:rPr>
          <w:rFonts w:hint="eastAsia" w:ascii="黑体" w:hAnsi="宋体" w:eastAsia="黑体" w:cs="黑体"/>
          <w:kern w:val="2"/>
          <w:sz w:val="32"/>
          <w:szCs w:val="32"/>
          <w:lang w:val="en-US" w:eastAsia="zh-CN" w:bidi="ar"/>
        </w:rPr>
        <w:t>十、其他重要事项的情况说明</w:t>
      </w:r>
      <w:r>
        <w:rPr>
          <w:rFonts w:hint="eastAsia" w:ascii="黑体" w:hAnsi="黑体" w:eastAsia="黑体"/>
          <w:sz w:val="32"/>
          <w:szCs w:val="32"/>
        </w:rPr>
        <w:t>其他重要事项的情况说明</w:t>
      </w:r>
    </w:p>
    <w:p>
      <w:pPr>
        <w:keepNext w:val="0"/>
        <w:keepLines w:val="0"/>
        <w:pageBreakBefore w:val="0"/>
        <w:kinsoku/>
        <w:wordWrap/>
        <w:overflowPunct/>
        <w:topLinePunct w:val="0"/>
        <w:bidi w:val="0"/>
        <w:spacing w:beforeAutospacing="0" w:afterAutospacing="0" w:line="540" w:lineRule="exact"/>
        <w:ind w:firstLine="640" w:firstLineChars="200"/>
        <w:textAlignment w:val="auto"/>
        <w:rPr>
          <w:rFonts w:ascii="楷体" w:hAnsi="楷体" w:eastAsia="楷体"/>
          <w:sz w:val="32"/>
          <w:szCs w:val="32"/>
        </w:rPr>
      </w:pPr>
      <w:r>
        <w:rPr>
          <w:rFonts w:hint="eastAsia" w:ascii="楷体" w:hAnsi="楷体" w:eastAsia="楷体" w:cs="楷体"/>
          <w:sz w:val="32"/>
          <w:szCs w:val="32"/>
        </w:rPr>
        <w:t>（一）机关运行经费安排使用情况说明</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rPr>
        <w:t>机关运行经费安排使用</w:t>
      </w:r>
      <w:r>
        <w:rPr>
          <w:rFonts w:hint="eastAsia" w:ascii="仿宋" w:hAnsi="仿宋" w:eastAsia="仿宋" w:cs="仿宋"/>
          <w:sz w:val="32"/>
          <w:szCs w:val="32"/>
          <w:lang w:val="en-US" w:eastAsia="zh-CN"/>
        </w:rPr>
        <w:t>377.35万元，其中：</w:t>
      </w:r>
      <w:r>
        <w:rPr>
          <w:rFonts w:hint="eastAsia" w:ascii="仿宋" w:hAnsi="仿宋" w:eastAsia="仿宋" w:cs="仿宋"/>
          <w:kern w:val="2"/>
          <w:sz w:val="32"/>
          <w:szCs w:val="32"/>
          <w:lang w:val="en-US" w:eastAsia="zh-CN" w:bidi="ar"/>
        </w:rPr>
        <w:t>办公费89.88万元，印刷费23.43万元，水费5.28万元，电费11.05万元，邮电费0.12万元，差旅费76.06万元，维修费16.3万元，培训费12.08万元，被装购置费56.41万元、劳务费0.35万元、委托业务费0.3万元，工会经费29.76万元，公务用车运行维护费42.33万元，其他商品和服务支出14万元。</w:t>
      </w:r>
    </w:p>
    <w:p>
      <w:pPr>
        <w:keepNext w:val="0"/>
        <w:keepLines w:val="0"/>
        <w:pageBreakBefore w:val="0"/>
        <w:kinsoku/>
        <w:wordWrap/>
        <w:overflowPunct/>
        <w:topLinePunct w:val="0"/>
        <w:autoSpaceDE w:val="0"/>
        <w:autoSpaceDN w:val="0"/>
        <w:bidi w:val="0"/>
        <w:adjustRightInd w:val="0"/>
        <w:spacing w:beforeAutospacing="0" w:afterAutospacing="0" w:line="54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（二）政府采购情况说明</w:t>
      </w:r>
    </w:p>
    <w:p>
      <w:pPr>
        <w:keepNext w:val="0"/>
        <w:keepLines w:val="0"/>
        <w:pageBreakBefore w:val="0"/>
        <w:kinsoku/>
        <w:wordWrap/>
        <w:overflowPunct/>
        <w:topLinePunct w:val="0"/>
        <w:autoSpaceDE w:val="0"/>
        <w:autoSpaceDN w:val="0"/>
        <w:bidi w:val="0"/>
        <w:adjustRightInd w:val="0"/>
        <w:spacing w:beforeAutospacing="0" w:afterAutospacing="0" w:line="540" w:lineRule="exact"/>
        <w:ind w:firstLine="640" w:firstLineChars="200"/>
        <w:jc w:val="left"/>
        <w:textAlignment w:val="auto"/>
        <w:rPr>
          <w:rFonts w:hint="eastAsia" w:ascii="仿宋" w:hAnsi="仿宋" w:eastAsia="仿宋" w:cs="仿宋"/>
          <w:kern w:val="0"/>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我院</w:t>
      </w:r>
      <w:r>
        <w:rPr>
          <w:rFonts w:hint="eastAsia" w:ascii="仿宋" w:hAnsi="仿宋" w:eastAsia="仿宋" w:cs="仿宋"/>
          <w:sz w:val="32"/>
          <w:szCs w:val="32"/>
          <w:highlight w:val="none"/>
        </w:rPr>
        <w:t>政府采购预算总额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万元，其中：政府采购货物预算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万元、政府采购工程预算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万元、政府采购服务预算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keepNext w:val="0"/>
        <w:keepLines w:val="0"/>
        <w:pageBreakBefore w:val="0"/>
        <w:kinsoku/>
        <w:wordWrap/>
        <w:overflowPunct/>
        <w:topLinePunct w:val="0"/>
        <w:bidi w:val="0"/>
        <w:spacing w:beforeAutospacing="0" w:afterAutospacing="0"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（三）国有资产占有使用情况说明。</w:t>
      </w:r>
    </w:p>
    <w:p>
      <w:pPr>
        <w:keepNext w:val="0"/>
        <w:keepLines w:val="0"/>
        <w:pageBreakBefore w:val="0"/>
        <w:kinsoku/>
        <w:wordWrap/>
        <w:overflowPunct/>
        <w:topLinePunct w:val="0"/>
        <w:bidi w:val="0"/>
        <w:spacing w:beforeAutospacing="0" w:afterAutospacing="0"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年12月31日，</w:t>
      </w:r>
      <w:r>
        <w:rPr>
          <w:rFonts w:hint="eastAsia" w:ascii="仿宋" w:hAnsi="仿宋" w:eastAsia="仿宋" w:cs="仿宋"/>
          <w:color w:val="auto"/>
          <w:sz w:val="32"/>
          <w:szCs w:val="32"/>
          <w:lang w:val="en-US" w:eastAsia="zh-CN"/>
        </w:rPr>
        <w:t>那曲市人民检察院</w:t>
      </w:r>
      <w:r>
        <w:rPr>
          <w:rFonts w:hint="eastAsia" w:ascii="仿宋" w:hAnsi="仿宋" w:eastAsia="仿宋" w:cs="仿宋"/>
          <w:color w:val="auto"/>
          <w:sz w:val="32"/>
          <w:szCs w:val="32"/>
        </w:rPr>
        <w:t>共有车辆</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辆，价值</w:t>
      </w:r>
      <w:r>
        <w:rPr>
          <w:rFonts w:hint="eastAsia" w:ascii="仿宋" w:hAnsi="仿宋" w:eastAsia="仿宋" w:cs="仿宋"/>
          <w:color w:val="auto"/>
          <w:sz w:val="32"/>
          <w:szCs w:val="32"/>
          <w:lang w:val="en-US" w:eastAsia="zh-CN"/>
        </w:rPr>
        <w:t>474.57</w:t>
      </w:r>
      <w:r>
        <w:rPr>
          <w:rFonts w:hint="eastAsia" w:ascii="仿宋" w:hAnsi="仿宋" w:eastAsia="仿宋" w:cs="仿宋"/>
          <w:color w:val="auto"/>
          <w:sz w:val="32"/>
          <w:szCs w:val="32"/>
        </w:rPr>
        <w:t>万元。其中，业务用车</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辆；</w:t>
      </w:r>
      <w:r>
        <w:rPr>
          <w:rFonts w:hint="eastAsia" w:ascii="仿宋" w:hAnsi="仿宋" w:eastAsia="仿宋" w:cs="仿宋"/>
          <w:color w:val="auto"/>
          <w:sz w:val="32"/>
          <w:szCs w:val="32"/>
          <w:lang w:eastAsia="zh-CN"/>
        </w:rPr>
        <w:t>特种车辆</w:t>
      </w:r>
      <w:r>
        <w:rPr>
          <w:rFonts w:hint="eastAsia" w:ascii="仿宋" w:hAnsi="仿宋" w:eastAsia="仿宋" w:cs="仿宋"/>
          <w:color w:val="auto"/>
          <w:sz w:val="32"/>
          <w:szCs w:val="32"/>
          <w:lang w:val="en-US" w:eastAsia="zh-CN"/>
        </w:rPr>
        <w:t>5辆，</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年底我</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资产总额为</w:t>
      </w:r>
      <w:r>
        <w:rPr>
          <w:rFonts w:hint="eastAsia" w:ascii="仿宋" w:hAnsi="仿宋" w:eastAsia="仿宋" w:cs="仿宋"/>
          <w:color w:val="auto"/>
          <w:sz w:val="32"/>
          <w:szCs w:val="32"/>
          <w:lang w:val="en-US" w:eastAsia="zh-CN"/>
        </w:rPr>
        <w:t>5062.74</w:t>
      </w:r>
      <w:r>
        <w:rPr>
          <w:rFonts w:hint="eastAsia" w:ascii="仿宋" w:hAnsi="仿宋" w:eastAsia="仿宋" w:cs="仿宋"/>
          <w:color w:val="auto"/>
          <w:sz w:val="32"/>
          <w:szCs w:val="32"/>
        </w:rPr>
        <w:t>万元，其中：1.流动</w:t>
      </w:r>
      <w:r>
        <w:rPr>
          <w:rFonts w:hint="eastAsia" w:ascii="仿宋" w:hAnsi="仿宋" w:eastAsia="仿宋" w:cs="仿宋"/>
          <w:color w:val="auto"/>
          <w:sz w:val="32"/>
          <w:szCs w:val="32"/>
          <w:lang w:eastAsia="zh-CN"/>
        </w:rPr>
        <w:t>资</w:t>
      </w:r>
      <w:r>
        <w:rPr>
          <w:rFonts w:hint="eastAsia" w:ascii="仿宋" w:hAnsi="仿宋" w:eastAsia="仿宋" w:cs="仿宋"/>
          <w:color w:val="auto"/>
          <w:sz w:val="32"/>
          <w:szCs w:val="32"/>
          <w:lang w:val="en-US" w:eastAsia="zh-CN"/>
        </w:rPr>
        <w:t>产4775.59</w:t>
      </w:r>
      <w:r>
        <w:rPr>
          <w:rFonts w:hint="eastAsia" w:ascii="仿宋" w:hAnsi="仿宋" w:eastAsia="仿宋" w:cs="仿宋"/>
          <w:color w:val="auto"/>
          <w:sz w:val="32"/>
          <w:szCs w:val="32"/>
        </w:rPr>
        <w:t>万元，包括</w:t>
      </w:r>
      <w:r>
        <w:rPr>
          <w:rFonts w:hint="eastAsia" w:ascii="仿宋" w:hAnsi="仿宋" w:eastAsia="仿宋" w:cs="仿宋"/>
          <w:color w:val="auto"/>
          <w:sz w:val="32"/>
          <w:szCs w:val="32"/>
          <w:lang w:val="en-US" w:eastAsia="zh-CN"/>
        </w:rPr>
        <w:t>货币资金2955.77</w:t>
      </w:r>
      <w:r>
        <w:rPr>
          <w:rFonts w:hint="eastAsia" w:ascii="仿宋" w:hAnsi="仿宋" w:eastAsia="仿宋" w:cs="仿宋"/>
          <w:color w:val="auto"/>
          <w:sz w:val="32"/>
          <w:szCs w:val="32"/>
        </w:rPr>
        <w:t>万元、财政应返额度</w:t>
      </w:r>
      <w:r>
        <w:rPr>
          <w:rFonts w:hint="eastAsia" w:ascii="仿宋" w:hAnsi="仿宋" w:eastAsia="仿宋" w:cs="仿宋"/>
          <w:color w:val="auto"/>
          <w:sz w:val="32"/>
          <w:szCs w:val="32"/>
          <w:lang w:val="en-US" w:eastAsia="zh-CN"/>
        </w:rPr>
        <w:t>1675.64</w:t>
      </w:r>
      <w:r>
        <w:rPr>
          <w:rFonts w:hint="eastAsia" w:ascii="仿宋" w:hAnsi="仿宋" w:eastAsia="仿宋" w:cs="仿宋"/>
          <w:color w:val="auto"/>
          <w:sz w:val="32"/>
          <w:szCs w:val="32"/>
        </w:rPr>
        <w:t>万元、其他应收款</w:t>
      </w:r>
      <w:r>
        <w:rPr>
          <w:rFonts w:hint="eastAsia" w:ascii="仿宋" w:hAnsi="仿宋" w:eastAsia="仿宋" w:cs="仿宋"/>
          <w:color w:val="auto"/>
          <w:sz w:val="32"/>
          <w:szCs w:val="32"/>
          <w:lang w:val="en-US" w:eastAsia="zh-CN"/>
        </w:rPr>
        <w:t>144.18</w:t>
      </w:r>
      <w:r>
        <w:rPr>
          <w:rFonts w:hint="eastAsia" w:ascii="仿宋" w:hAnsi="仿宋" w:eastAsia="仿宋" w:cs="仿宋"/>
          <w:color w:val="auto"/>
          <w:sz w:val="32"/>
          <w:szCs w:val="32"/>
        </w:rPr>
        <w:t>万元。2.固定资产</w:t>
      </w:r>
      <w:r>
        <w:rPr>
          <w:rFonts w:hint="eastAsia" w:ascii="仿宋" w:hAnsi="仿宋" w:eastAsia="仿宋" w:cs="仿宋"/>
          <w:color w:val="auto"/>
          <w:sz w:val="32"/>
          <w:szCs w:val="32"/>
          <w:lang w:val="en-US" w:eastAsia="zh-CN"/>
        </w:rPr>
        <w:t>原值1432.35</w:t>
      </w:r>
      <w:r>
        <w:rPr>
          <w:rFonts w:hint="eastAsia" w:ascii="仿宋" w:hAnsi="仿宋" w:eastAsia="仿宋" w:cs="仿宋"/>
          <w:color w:val="auto"/>
          <w:sz w:val="32"/>
          <w:szCs w:val="32"/>
        </w:rPr>
        <w:t>万元，包括土地、房屋及建筑物</w:t>
      </w:r>
      <w:r>
        <w:rPr>
          <w:rFonts w:hint="eastAsia" w:ascii="仿宋" w:hAnsi="仿宋" w:eastAsia="仿宋" w:cs="仿宋"/>
          <w:color w:val="auto"/>
          <w:sz w:val="32"/>
          <w:szCs w:val="32"/>
          <w:lang w:val="en-US" w:eastAsia="zh-CN"/>
        </w:rPr>
        <w:t>525.92</w:t>
      </w:r>
      <w:r>
        <w:rPr>
          <w:rFonts w:hint="eastAsia" w:ascii="仿宋" w:hAnsi="仿宋" w:eastAsia="仿宋" w:cs="仿宋"/>
          <w:color w:val="auto"/>
          <w:sz w:val="32"/>
          <w:szCs w:val="32"/>
        </w:rPr>
        <w:t>万元、通用设备</w:t>
      </w:r>
      <w:r>
        <w:rPr>
          <w:rFonts w:hint="eastAsia" w:ascii="仿宋" w:hAnsi="仿宋" w:eastAsia="仿宋" w:cs="仿宋"/>
          <w:color w:val="auto"/>
          <w:sz w:val="32"/>
          <w:szCs w:val="32"/>
          <w:lang w:val="en-US" w:eastAsia="zh-CN"/>
        </w:rPr>
        <w:t>825.56</w:t>
      </w:r>
      <w:r>
        <w:rPr>
          <w:rFonts w:hint="eastAsia" w:ascii="仿宋" w:hAnsi="仿宋" w:eastAsia="仿宋" w:cs="仿宋"/>
          <w:color w:val="auto"/>
          <w:sz w:val="32"/>
          <w:szCs w:val="32"/>
        </w:rPr>
        <w:t>万元、专用设备</w:t>
      </w:r>
      <w:r>
        <w:rPr>
          <w:rFonts w:hint="eastAsia" w:ascii="仿宋" w:hAnsi="仿宋" w:eastAsia="仿宋" w:cs="仿宋"/>
          <w:color w:val="auto"/>
          <w:sz w:val="32"/>
          <w:szCs w:val="32"/>
          <w:lang w:val="en-US" w:eastAsia="zh-CN"/>
        </w:rPr>
        <w:t>25.04</w:t>
      </w:r>
      <w:r>
        <w:rPr>
          <w:rFonts w:hint="eastAsia" w:ascii="仿宋" w:hAnsi="仿宋" w:eastAsia="仿宋" w:cs="仿宋"/>
          <w:color w:val="auto"/>
          <w:sz w:val="32"/>
          <w:szCs w:val="32"/>
        </w:rPr>
        <w:t>万元、家具、用具、装具及动动植物</w:t>
      </w:r>
      <w:r>
        <w:rPr>
          <w:rFonts w:hint="eastAsia" w:ascii="仿宋" w:hAnsi="仿宋" w:eastAsia="仿宋" w:cs="仿宋"/>
          <w:color w:val="auto"/>
          <w:sz w:val="32"/>
          <w:szCs w:val="32"/>
          <w:lang w:val="en-US" w:eastAsia="zh-CN"/>
        </w:rPr>
        <w:t>55.83</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3.无形资产8.73万元。</w:t>
      </w:r>
      <w:r>
        <w:rPr>
          <w:rFonts w:hint="eastAsia" w:ascii="仿宋" w:hAnsi="仿宋" w:eastAsia="仿宋" w:cs="仿宋"/>
          <w:color w:val="auto"/>
          <w:sz w:val="32"/>
          <w:szCs w:val="32"/>
        </w:rPr>
        <w:t>根据政府会计要求计提固定资产累计折旧</w:t>
      </w:r>
      <w:r>
        <w:rPr>
          <w:rFonts w:hint="eastAsia" w:ascii="仿宋" w:hAnsi="仿宋" w:eastAsia="仿宋" w:cs="仿宋"/>
          <w:color w:val="auto"/>
          <w:sz w:val="32"/>
          <w:szCs w:val="32"/>
          <w:lang w:val="en-US" w:eastAsia="zh-CN"/>
        </w:rPr>
        <w:t>1153.92</w:t>
      </w:r>
      <w:r>
        <w:rPr>
          <w:rFonts w:hint="eastAsia" w:ascii="仿宋" w:hAnsi="仿宋" w:eastAsia="仿宋" w:cs="仿宋"/>
          <w:color w:val="auto"/>
          <w:sz w:val="32"/>
          <w:szCs w:val="32"/>
        </w:rPr>
        <w:t>万元。</w:t>
      </w:r>
    </w:p>
    <w:p>
      <w:pPr>
        <w:keepNext w:val="0"/>
        <w:keepLines w:val="0"/>
        <w:pageBreakBefore w:val="0"/>
        <w:kinsoku/>
        <w:wordWrap/>
        <w:overflowPunct/>
        <w:topLinePunct w:val="0"/>
        <w:bidi w:val="0"/>
        <w:spacing w:beforeAutospacing="0" w:afterAutospacing="0" w:line="540" w:lineRule="exact"/>
        <w:ind w:firstLine="320" w:firstLineChars="1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rPr>
        <w:t>）扶贫资金管理使用情况及绩效目标情况说明</w:t>
      </w:r>
    </w:p>
    <w:p>
      <w:pPr>
        <w:keepNext w:val="0"/>
        <w:keepLines w:val="0"/>
        <w:pageBreakBefore w:val="0"/>
        <w:kinsoku/>
        <w:wordWrap/>
        <w:overflowPunct/>
        <w:topLinePunct w:val="0"/>
        <w:bidi w:val="0"/>
        <w:spacing w:beforeAutospacing="0" w:afterAutospacing="0"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年部门年初预算中市本级没有安排扶贫资金。</w:t>
      </w:r>
    </w:p>
    <w:p>
      <w:pPr>
        <w:keepNext w:val="0"/>
        <w:keepLines w:val="0"/>
        <w:pageBreakBefore w:val="0"/>
        <w:kinsoku/>
        <w:wordWrap/>
        <w:overflowPunct/>
        <w:topLinePunct w:val="0"/>
        <w:bidi w:val="0"/>
        <w:spacing w:beforeAutospacing="0" w:afterAutospacing="0" w:line="540" w:lineRule="exact"/>
        <w:ind w:firstLine="320" w:firstLineChars="1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rPr>
        <w:t>）政府债务情况</w:t>
      </w:r>
    </w:p>
    <w:p>
      <w:pPr>
        <w:keepNext w:val="0"/>
        <w:keepLines w:val="0"/>
        <w:pageBreakBefore w:val="0"/>
        <w:numPr>
          <w:ilvl w:val="0"/>
          <w:numId w:val="0"/>
        </w:numPr>
        <w:kinsoku/>
        <w:wordWrap/>
        <w:overflowPunct/>
        <w:topLinePunct w:val="0"/>
        <w:bidi w:val="0"/>
        <w:spacing w:beforeAutospacing="0" w:afterAutospacing="0" w:line="540" w:lineRule="exact"/>
        <w:ind w:left="630" w:lef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年我</w:t>
      </w:r>
      <w:r>
        <w:rPr>
          <w:rFonts w:hint="eastAsia" w:ascii="仿宋" w:hAnsi="仿宋" w:eastAsia="仿宋" w:cs="仿宋"/>
          <w:sz w:val="32"/>
          <w:szCs w:val="32"/>
          <w:lang w:val="en-US" w:eastAsia="zh-CN"/>
        </w:rPr>
        <w:t>院无</w:t>
      </w:r>
      <w:r>
        <w:rPr>
          <w:rFonts w:hint="eastAsia" w:ascii="仿宋" w:hAnsi="仿宋" w:eastAsia="仿宋" w:cs="仿宋"/>
          <w:sz w:val="32"/>
          <w:szCs w:val="32"/>
        </w:rPr>
        <w:t>政府债务。</w:t>
      </w:r>
    </w:p>
    <w:p>
      <w:pPr>
        <w:keepNext w:val="0"/>
        <w:keepLines w:val="0"/>
        <w:pageBreakBefore w:val="0"/>
        <w:numPr>
          <w:ilvl w:val="0"/>
          <w:numId w:val="0"/>
        </w:numPr>
        <w:kinsoku/>
        <w:wordWrap/>
        <w:overflowPunct/>
        <w:topLinePunct w:val="0"/>
        <w:bidi w:val="0"/>
        <w:spacing w:beforeAutospacing="0" w:afterAutospacing="0" w:line="540" w:lineRule="exact"/>
        <w:ind w:firstLine="320" w:firstLineChars="100"/>
        <w:textAlignment w:val="auto"/>
        <w:rPr>
          <w:rFonts w:hint="eastAsia" w:ascii="楷体" w:hAnsi="楷体" w:eastAsia="楷体" w:cs="楷体"/>
          <w:sz w:val="32"/>
          <w:szCs w:val="32"/>
          <w:lang w:val="en-US" w:eastAsia="zh-CN"/>
        </w:rPr>
      </w:pPr>
      <w:r>
        <w:rPr>
          <w:rFonts w:hint="eastAsia" w:ascii="楷体" w:hAnsi="楷体" w:eastAsia="楷体" w:cs="楷体"/>
          <w:b w:val="0"/>
          <w:bCs/>
          <w:sz w:val="32"/>
          <w:szCs w:val="32"/>
          <w:lang w:val="en-US" w:eastAsia="zh-CN"/>
        </w:rPr>
        <w:t>（六）</w:t>
      </w:r>
      <w:r>
        <w:rPr>
          <w:rFonts w:hint="eastAsia" w:ascii="楷体" w:hAnsi="楷体" w:eastAsia="楷体" w:cs="楷体"/>
          <w:sz w:val="32"/>
          <w:szCs w:val="32"/>
          <w:lang w:val="en-US" w:eastAsia="zh-CN"/>
        </w:rPr>
        <w:t>重点、重大项目信息</w:t>
      </w:r>
    </w:p>
    <w:p>
      <w:pPr>
        <w:pStyle w:val="7"/>
        <w:keepNext w:val="0"/>
        <w:keepLines w:val="0"/>
        <w:pageBreakBefore w:val="0"/>
        <w:kinsoku/>
        <w:wordWrap/>
        <w:overflowPunct/>
        <w:topLinePunct w:val="0"/>
        <w:bidi w:val="0"/>
        <w:spacing w:beforeAutospacing="0" w:afterAutospacing="0" w:line="540" w:lineRule="exact"/>
        <w:ind w:firstLine="640"/>
        <w:jc w:val="left"/>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我院2021年无重点、重大项目信息。</w:t>
      </w:r>
    </w:p>
    <w:p>
      <w:pPr>
        <w:pStyle w:val="7"/>
        <w:keepNext w:val="0"/>
        <w:keepLines w:val="0"/>
        <w:pageBreakBefore w:val="0"/>
        <w:kinsoku/>
        <w:wordWrap/>
        <w:overflowPunct/>
        <w:topLinePunct w:val="0"/>
        <w:bidi w:val="0"/>
        <w:spacing w:beforeAutospacing="0" w:afterAutospacing="0" w:line="540" w:lineRule="exact"/>
        <w:ind w:firstLine="640"/>
        <w:jc w:val="left"/>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十一、2021年度政府采购情况说明</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我院2021年度无政府采购支出。</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1280" w:firstLineChars="400"/>
        <w:jc w:val="both"/>
        <w:textAlignment w:val="auto"/>
        <w:rPr>
          <w:rFonts w:hint="eastAsia" w:ascii="仿宋" w:hAnsi="仿宋" w:eastAsia="仿宋" w:cs="仿宋"/>
          <w:sz w:val="32"/>
          <w:szCs w:val="32"/>
          <w:lang w:val="en-US"/>
        </w:rPr>
      </w:pPr>
    </w:p>
    <w:p>
      <w:pPr>
        <w:keepNext w:val="0"/>
        <w:keepLines w:val="0"/>
        <w:pageBreakBefore w:val="0"/>
        <w:kinsoku/>
        <w:wordWrap/>
        <w:overflowPunct/>
        <w:topLinePunct w:val="0"/>
        <w:bidi w:val="0"/>
        <w:spacing w:beforeAutospacing="0" w:afterAutospacing="0" w:line="540" w:lineRule="exact"/>
        <w:ind w:firstLine="640" w:firstLineChars="200"/>
        <w:jc w:val="both"/>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w:t>
      </w:r>
      <w:r>
        <w:rPr>
          <w:rFonts w:hint="eastAsia" w:ascii="方正小标宋简体" w:hAnsi="仿宋" w:eastAsia="方正小标宋简体"/>
          <w:sz w:val="32"/>
          <w:szCs w:val="32"/>
          <w:lang w:val="en-US" w:eastAsia="zh-CN"/>
        </w:rPr>
        <w:t xml:space="preserve"> </w:t>
      </w:r>
      <w:r>
        <w:rPr>
          <w:rFonts w:hint="eastAsia" w:ascii="方正小标宋简体" w:hAnsi="仿宋" w:eastAsia="方正小标宋简体"/>
          <w:sz w:val="32"/>
          <w:szCs w:val="32"/>
        </w:rPr>
        <w:t>名词解释</w:t>
      </w:r>
    </w:p>
    <w:p>
      <w:pPr>
        <w:keepNext w:val="0"/>
        <w:keepLines w:val="0"/>
        <w:pageBreakBefore w:val="0"/>
        <w:kinsoku/>
        <w:wordWrap/>
        <w:overflowPunct/>
        <w:topLinePunct w:val="0"/>
        <w:bidi w:val="0"/>
        <w:spacing w:beforeAutospacing="0" w:afterAutospacing="0" w:line="540" w:lineRule="exact"/>
        <w:ind w:firstLine="640" w:firstLineChars="200"/>
        <w:textAlignment w:val="auto"/>
        <w:rPr>
          <w:rFonts w:hint="eastAsia" w:ascii="仿宋" w:hAnsi="仿宋" w:eastAsia="仿宋" w:cs="仿宋"/>
          <w:sz w:val="32"/>
          <w:szCs w:val="32"/>
        </w:rPr>
      </w:pPr>
      <w:r>
        <w:rPr>
          <w:rFonts w:hint="eastAsia" w:ascii="黑体" w:hAnsi="黑体" w:eastAsia="黑体"/>
          <w:sz w:val="32"/>
          <w:szCs w:val="32"/>
        </w:rPr>
        <w:t>一、一般公共预算拨款收入：</w:t>
      </w:r>
      <w:r>
        <w:rPr>
          <w:rFonts w:hint="eastAsia" w:ascii="仿宋" w:hAnsi="仿宋" w:eastAsia="仿宋" w:cs="仿宋"/>
          <w:sz w:val="32"/>
          <w:szCs w:val="32"/>
        </w:rPr>
        <w:t>指财政部门当年拨付的资金。</w:t>
      </w:r>
    </w:p>
    <w:p>
      <w:pPr>
        <w:keepNext w:val="0"/>
        <w:keepLines w:val="0"/>
        <w:pageBreakBefore w:val="0"/>
        <w:kinsoku/>
        <w:wordWrap/>
        <w:overflowPunct/>
        <w:topLinePunct w:val="0"/>
        <w:bidi w:val="0"/>
        <w:spacing w:beforeAutospacing="0" w:afterAutospacing="0" w:line="540" w:lineRule="exact"/>
        <w:ind w:firstLine="640" w:firstLineChars="200"/>
        <w:textAlignment w:val="auto"/>
        <w:rPr>
          <w:rFonts w:hint="eastAsia" w:ascii="仿宋" w:hAnsi="仿宋" w:eastAsia="仿宋" w:cs="仿宋"/>
          <w:sz w:val="32"/>
          <w:szCs w:val="32"/>
        </w:rPr>
      </w:pPr>
      <w:r>
        <w:rPr>
          <w:rFonts w:hint="eastAsia" w:ascii="黑体" w:hAnsi="黑体" w:eastAsia="黑体"/>
          <w:sz w:val="32"/>
          <w:szCs w:val="32"/>
        </w:rPr>
        <w:t>二、事业收入：</w:t>
      </w:r>
      <w:r>
        <w:rPr>
          <w:rFonts w:hint="eastAsia" w:ascii="仿宋" w:hAnsi="仿宋" w:eastAsia="仿宋" w:cs="仿宋"/>
          <w:sz w:val="32"/>
          <w:szCs w:val="32"/>
        </w:rPr>
        <w:t>指事业单位开展专业业务活动及辅助活动所取得的收入。</w:t>
      </w:r>
    </w:p>
    <w:p>
      <w:pPr>
        <w:keepNext w:val="0"/>
        <w:keepLines w:val="0"/>
        <w:pageBreakBefore w:val="0"/>
        <w:kinsoku/>
        <w:wordWrap/>
        <w:overflowPunct/>
        <w:topLinePunct w:val="0"/>
        <w:bidi w:val="0"/>
        <w:spacing w:beforeAutospacing="0" w:afterAutospacing="0" w:line="540" w:lineRule="exact"/>
        <w:ind w:firstLine="640" w:firstLineChars="200"/>
        <w:textAlignment w:val="auto"/>
        <w:rPr>
          <w:rFonts w:hint="eastAsia" w:ascii="楷体" w:hAnsi="楷体" w:eastAsia="楷体" w:cs="楷体"/>
          <w:sz w:val="32"/>
          <w:szCs w:val="32"/>
        </w:rPr>
      </w:pPr>
      <w:r>
        <w:rPr>
          <w:rFonts w:hint="eastAsia" w:ascii="黑体" w:hAnsi="黑体" w:eastAsia="黑体"/>
          <w:sz w:val="32"/>
          <w:szCs w:val="32"/>
        </w:rPr>
        <w:t>三、事业单位经营收入：</w:t>
      </w:r>
      <w:r>
        <w:rPr>
          <w:rFonts w:hint="eastAsia" w:ascii="仿宋" w:hAnsi="仿宋" w:eastAsia="仿宋" w:cs="仿宋"/>
          <w:sz w:val="32"/>
          <w:szCs w:val="32"/>
        </w:rPr>
        <w:t>指事业单位在专业业务活动及其辅助活动之外开展非独立核算经营活动取得的收入。</w:t>
      </w:r>
    </w:p>
    <w:p>
      <w:pPr>
        <w:keepNext w:val="0"/>
        <w:keepLines w:val="0"/>
        <w:pageBreakBefore w:val="0"/>
        <w:kinsoku/>
        <w:wordWrap/>
        <w:overflowPunct/>
        <w:topLinePunct w:val="0"/>
        <w:bidi w:val="0"/>
        <w:spacing w:beforeAutospacing="0" w:afterAutospacing="0" w:line="540" w:lineRule="exact"/>
        <w:ind w:firstLine="640" w:firstLineChars="200"/>
        <w:textAlignment w:val="auto"/>
        <w:rPr>
          <w:rFonts w:hint="eastAsia" w:ascii="仿宋" w:hAnsi="仿宋" w:eastAsia="仿宋" w:cs="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cs="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pageBreakBefore w:val="0"/>
        <w:kinsoku/>
        <w:wordWrap/>
        <w:overflowPunct/>
        <w:topLinePunct w:val="0"/>
        <w:bidi w:val="0"/>
        <w:spacing w:beforeAutospacing="0" w:afterAutospacing="0" w:line="540" w:lineRule="exact"/>
        <w:ind w:firstLine="640" w:firstLineChars="200"/>
        <w:textAlignment w:val="auto"/>
        <w:rPr>
          <w:rFonts w:hint="eastAsia" w:ascii="仿宋" w:hAnsi="仿宋" w:eastAsia="仿宋" w:cs="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cs="仿宋"/>
          <w:sz w:val="32"/>
          <w:szCs w:val="32"/>
        </w:rPr>
        <w:t>指除上述“一般公共预算拨款收入”、“事业收入”、“事业单位经营收入”等以外的收入。主要是按规定动用的售房收入、存款利息收入等。</w:t>
      </w:r>
    </w:p>
    <w:p>
      <w:pPr>
        <w:keepNext w:val="0"/>
        <w:keepLines w:val="0"/>
        <w:pageBreakBefore w:val="0"/>
        <w:kinsoku/>
        <w:wordWrap/>
        <w:overflowPunct/>
        <w:topLinePunct w:val="0"/>
        <w:bidi w:val="0"/>
        <w:spacing w:beforeAutospacing="0" w:afterAutospacing="0" w:line="540" w:lineRule="exact"/>
        <w:ind w:firstLine="640" w:firstLineChars="200"/>
        <w:textAlignment w:val="auto"/>
        <w:rPr>
          <w:rFonts w:hint="eastAsia" w:ascii="仿宋" w:hAnsi="仿宋" w:eastAsia="仿宋" w:cs="仿宋"/>
          <w:sz w:val="32"/>
          <w:szCs w:val="32"/>
        </w:rPr>
      </w:pPr>
      <w:r>
        <w:rPr>
          <w:rFonts w:hint="eastAsia" w:ascii="黑体" w:hAnsi="黑体" w:eastAsia="黑体"/>
          <w:sz w:val="32"/>
          <w:szCs w:val="32"/>
        </w:rPr>
        <w:t>六、上年结转：</w:t>
      </w:r>
      <w:r>
        <w:rPr>
          <w:rFonts w:hint="eastAsia" w:ascii="仿宋" w:hAnsi="仿宋" w:eastAsia="仿宋" w:cs="仿宋"/>
          <w:sz w:val="32"/>
          <w:szCs w:val="32"/>
        </w:rPr>
        <w:t>指以前年度安排、结转到本年仍按原规定用途继续使用的资金。</w:t>
      </w:r>
    </w:p>
    <w:p>
      <w:pPr>
        <w:keepNext w:val="0"/>
        <w:keepLines w:val="0"/>
        <w:pageBreakBefore w:val="0"/>
        <w:kinsoku/>
        <w:wordWrap/>
        <w:overflowPunct/>
        <w:topLinePunct w:val="0"/>
        <w:bidi w:val="0"/>
        <w:spacing w:beforeAutospacing="0" w:afterAutospacing="0" w:line="540" w:lineRule="exact"/>
        <w:ind w:firstLine="640" w:firstLineChars="200"/>
        <w:textAlignment w:val="auto"/>
        <w:rPr>
          <w:rFonts w:hint="eastAsia" w:ascii="仿宋" w:hAnsi="仿宋" w:eastAsia="仿宋" w:cs="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cs="仿宋"/>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keepNext w:val="0"/>
        <w:keepLines w:val="0"/>
        <w:pageBreakBefore w:val="0"/>
        <w:kinsoku/>
        <w:wordWrap/>
        <w:overflowPunct/>
        <w:topLinePunct w:val="0"/>
        <w:autoSpaceDE w:val="0"/>
        <w:autoSpaceDN w:val="0"/>
        <w:bidi w:val="0"/>
        <w:adjustRightInd w:val="0"/>
        <w:spacing w:beforeAutospacing="0" w:afterAutospacing="0" w:line="540" w:lineRule="exact"/>
        <w:ind w:firstLine="640" w:firstLineChars="200"/>
        <w:jc w:val="left"/>
        <w:textAlignment w:val="auto"/>
        <w:rPr>
          <w:rFonts w:hint="eastAsia" w:ascii="仿宋" w:hAnsi="仿宋" w:eastAsia="仿宋" w:cs="仿宋"/>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cs="仿宋"/>
          <w:sz w:val="32"/>
          <w:szCs w:val="32"/>
        </w:rPr>
        <w:t>指为保障机构正常运转、完成日常工作任务而发生的人员支出和公用支出。</w:t>
      </w:r>
    </w:p>
    <w:p>
      <w:pPr>
        <w:keepNext w:val="0"/>
        <w:keepLines w:val="0"/>
        <w:pageBreakBefore w:val="0"/>
        <w:kinsoku/>
        <w:wordWrap/>
        <w:overflowPunct/>
        <w:topLinePunct w:val="0"/>
        <w:autoSpaceDE w:val="0"/>
        <w:autoSpaceDN w:val="0"/>
        <w:bidi w:val="0"/>
        <w:adjustRightInd w:val="0"/>
        <w:spacing w:beforeAutospacing="0" w:afterAutospacing="0" w:line="540" w:lineRule="exact"/>
        <w:ind w:firstLine="640" w:firstLineChars="200"/>
        <w:jc w:val="left"/>
        <w:textAlignment w:val="auto"/>
        <w:rPr>
          <w:rFonts w:hint="eastAsia" w:ascii="仿宋" w:hAnsi="仿宋" w:eastAsia="仿宋" w:cs="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cs="仿宋"/>
          <w:sz w:val="32"/>
          <w:szCs w:val="32"/>
        </w:rPr>
        <w:t>指在基本支出之外为完成特定行政任务或事业发展目标所发生的支出。</w:t>
      </w:r>
    </w:p>
    <w:p>
      <w:pPr>
        <w:keepNext w:val="0"/>
        <w:keepLines w:val="0"/>
        <w:pageBreakBefore w:val="0"/>
        <w:kinsoku/>
        <w:wordWrap/>
        <w:overflowPunct/>
        <w:topLinePunct w:val="0"/>
        <w:autoSpaceDE w:val="0"/>
        <w:autoSpaceDN w:val="0"/>
        <w:bidi w:val="0"/>
        <w:adjustRightInd w:val="0"/>
        <w:spacing w:beforeAutospacing="0" w:afterAutospacing="0" w:line="540" w:lineRule="exact"/>
        <w:ind w:firstLine="640" w:firstLineChars="200"/>
        <w:jc w:val="left"/>
        <w:textAlignment w:val="auto"/>
        <w:rPr>
          <w:rFonts w:hint="eastAsia" w:ascii="仿宋" w:hAnsi="仿宋" w:eastAsia="仿宋" w:cs="仿宋"/>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cs="仿宋"/>
          <w:sz w:val="32"/>
          <w:szCs w:val="32"/>
        </w:rPr>
        <w:t>指事业单位在专业业务活动及其辅助活动之外开展非独立核算经营活动发生的支出。</w:t>
      </w:r>
    </w:p>
    <w:p>
      <w:pPr>
        <w:keepNext w:val="0"/>
        <w:keepLines w:val="0"/>
        <w:pageBreakBefore w:val="0"/>
        <w:kinsoku/>
        <w:wordWrap/>
        <w:overflowPunct/>
        <w:topLinePunct w:val="0"/>
        <w:bidi w:val="0"/>
        <w:spacing w:beforeAutospacing="0" w:afterAutospacing="0" w:line="540" w:lineRule="exact"/>
        <w:textAlignment w:val="auto"/>
        <w:rPr>
          <w:rFonts w:hint="eastAsia" w:ascii="仿宋" w:hAnsi="仿宋" w:eastAsia="仿宋" w:cs="仿宋"/>
          <w:sz w:val="32"/>
          <w:szCs w:val="32"/>
        </w:rPr>
      </w:pPr>
      <w:r>
        <w:rPr>
          <w:rFonts w:hint="eastAsia" w:ascii="仿宋" w:hAnsi="仿宋" w:eastAsia="仿宋" w:cs="仿宋"/>
          <w:sz w:val="32"/>
          <w:szCs w:val="32"/>
        </w:rPr>
        <w:t>……</w:t>
      </w:r>
    </w:p>
    <w:p>
      <w:pPr>
        <w:keepNext w:val="0"/>
        <w:keepLines w:val="0"/>
        <w:pageBreakBefore w:val="0"/>
        <w:kinsoku/>
        <w:wordWrap/>
        <w:overflowPunct/>
        <w:topLinePunct w:val="0"/>
        <w:bidi w:val="0"/>
        <w:spacing w:beforeAutospacing="0" w:afterAutospacing="0" w:line="54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jc w:val="center"/>
        <w:textAlignment w:val="auto"/>
        <w:rPr>
          <w:rFonts w:hint="eastAsia" w:ascii="黑体" w:hAnsi="Times New Roman" w:eastAsia="黑体" w:cs="黑体"/>
          <w:sz w:val="32"/>
          <w:szCs w:val="32"/>
          <w:lang w:val="en-US"/>
        </w:rPr>
      </w:pPr>
    </w:p>
    <w:p>
      <w:pPr>
        <w:keepNext w:val="0"/>
        <w:keepLines w:val="0"/>
        <w:pageBreakBefore w:val="0"/>
        <w:widowControl/>
        <w:kinsoku/>
        <w:wordWrap/>
        <w:overflowPunct/>
        <w:topLinePunct w:val="0"/>
        <w:autoSpaceDE/>
        <w:autoSpaceDN/>
        <w:bidi w:val="0"/>
        <w:spacing w:beforeAutospacing="0" w:afterAutospacing="0" w:line="54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kinsoku/>
        <w:wordWrap/>
        <w:overflowPunct/>
        <w:topLinePunct w:val="0"/>
        <w:autoSpaceDE/>
        <w:autoSpaceDN/>
        <w:bidi w:val="0"/>
        <w:spacing w:beforeAutospacing="0" w:afterAutospacing="0" w:line="54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kinsoku/>
        <w:wordWrap/>
        <w:overflowPunct/>
        <w:topLinePunct w:val="0"/>
        <w:autoSpaceDE/>
        <w:autoSpaceDN/>
        <w:bidi w:val="0"/>
        <w:spacing w:beforeAutospacing="0" w:afterAutospacing="0" w:line="540" w:lineRule="exact"/>
        <w:ind w:firstLine="640" w:firstLineChars="200"/>
        <w:jc w:val="left"/>
        <w:textAlignment w:val="auto"/>
        <w:rPr>
          <w:rFonts w:hint="eastAsia" w:ascii="宋体" w:hAnsi="宋体" w:eastAsia="宋体" w:cs="宋体"/>
          <w:sz w:val="32"/>
          <w:szCs w:val="32"/>
          <w:lang w:val="en-US" w:eastAsia="zh-CN"/>
        </w:rPr>
      </w:pPr>
    </w:p>
    <w:p>
      <w:pPr>
        <w:keepNext w:val="0"/>
        <w:keepLines w:val="0"/>
        <w:pageBreakBefore w:val="0"/>
        <w:widowControl/>
        <w:kinsoku/>
        <w:wordWrap/>
        <w:overflowPunct/>
        <w:topLinePunct w:val="0"/>
        <w:autoSpaceDE/>
        <w:autoSpaceDN/>
        <w:bidi w:val="0"/>
        <w:spacing w:beforeAutospacing="0" w:afterAutospacing="0" w:line="540" w:lineRule="exact"/>
        <w:jc w:val="left"/>
        <w:textAlignment w:val="auto"/>
        <w:rPr>
          <w:rFonts w:hint="eastAsia" w:ascii="宋体" w:hAnsi="宋体" w:eastAsia="宋体" w:cs="宋体"/>
          <w:sz w:val="32"/>
          <w:szCs w:val="32"/>
          <w:lang w:val="en-US" w:eastAsia="zh-C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5FFBA8"/>
    <w:multiLevelType w:val="singleLevel"/>
    <w:tmpl w:val="375FFBA8"/>
    <w:lvl w:ilvl="0" w:tentative="0">
      <w:start w:val="1"/>
      <w:numFmt w:val="chineseCounting"/>
      <w:suff w:val="space"/>
      <w:lvlText w:val="第%1部分"/>
      <w:lvlJc w:val="left"/>
      <w:rPr>
        <w:rFonts w:hint="eastAsia"/>
      </w:rPr>
    </w:lvl>
  </w:abstractNum>
  <w:abstractNum w:abstractNumId="1">
    <w:nsid w:val="4CB9CB56"/>
    <w:multiLevelType w:val="multilevel"/>
    <w:tmpl w:val="4CB9CB56"/>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70DA8F09"/>
    <w:multiLevelType w:val="multilevel"/>
    <w:tmpl w:val="70DA8F09"/>
    <w:lvl w:ilvl="0" w:tentative="0">
      <w:start w:val="3"/>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D31D50"/>
    <w:rsid w:val="00176C0D"/>
    <w:rsid w:val="002E6EBC"/>
    <w:rsid w:val="00323B43"/>
    <w:rsid w:val="003D37D8"/>
    <w:rsid w:val="003D6656"/>
    <w:rsid w:val="00426133"/>
    <w:rsid w:val="004358AB"/>
    <w:rsid w:val="006945FE"/>
    <w:rsid w:val="006C14E8"/>
    <w:rsid w:val="008857EE"/>
    <w:rsid w:val="008B7726"/>
    <w:rsid w:val="00A225BE"/>
    <w:rsid w:val="00AE4E5E"/>
    <w:rsid w:val="00AF1302"/>
    <w:rsid w:val="00B22419"/>
    <w:rsid w:val="00BE427C"/>
    <w:rsid w:val="00C150CD"/>
    <w:rsid w:val="00CA2AA8"/>
    <w:rsid w:val="00D31D50"/>
    <w:rsid w:val="00E30FAC"/>
    <w:rsid w:val="00E53C59"/>
    <w:rsid w:val="00EC0D20"/>
    <w:rsid w:val="00F65E6D"/>
    <w:rsid w:val="00F91EF6"/>
    <w:rsid w:val="011D6853"/>
    <w:rsid w:val="013435B5"/>
    <w:rsid w:val="0165452E"/>
    <w:rsid w:val="02223D56"/>
    <w:rsid w:val="02317AF5"/>
    <w:rsid w:val="023F2212"/>
    <w:rsid w:val="025F4662"/>
    <w:rsid w:val="026B5FCD"/>
    <w:rsid w:val="027A76EE"/>
    <w:rsid w:val="02A227A1"/>
    <w:rsid w:val="02A8425B"/>
    <w:rsid w:val="02E66B31"/>
    <w:rsid w:val="033E1807"/>
    <w:rsid w:val="03653EFA"/>
    <w:rsid w:val="03891ADE"/>
    <w:rsid w:val="03D1333D"/>
    <w:rsid w:val="040F20B8"/>
    <w:rsid w:val="04133956"/>
    <w:rsid w:val="044C6E68"/>
    <w:rsid w:val="04706FFA"/>
    <w:rsid w:val="047845DB"/>
    <w:rsid w:val="048C54B6"/>
    <w:rsid w:val="04BC5D9C"/>
    <w:rsid w:val="05441948"/>
    <w:rsid w:val="05502988"/>
    <w:rsid w:val="055A7363"/>
    <w:rsid w:val="055D13C0"/>
    <w:rsid w:val="05760640"/>
    <w:rsid w:val="05D610DF"/>
    <w:rsid w:val="06F47CEC"/>
    <w:rsid w:val="070D0B30"/>
    <w:rsid w:val="071F6AB6"/>
    <w:rsid w:val="073562D9"/>
    <w:rsid w:val="0768220B"/>
    <w:rsid w:val="079C1EB4"/>
    <w:rsid w:val="07F12200"/>
    <w:rsid w:val="07FE3F85"/>
    <w:rsid w:val="08332819"/>
    <w:rsid w:val="08792605"/>
    <w:rsid w:val="08A47272"/>
    <w:rsid w:val="08AA23AF"/>
    <w:rsid w:val="08F2385D"/>
    <w:rsid w:val="09181A0E"/>
    <w:rsid w:val="092C1016"/>
    <w:rsid w:val="09336E74"/>
    <w:rsid w:val="09C36936"/>
    <w:rsid w:val="09F00295"/>
    <w:rsid w:val="0A8455AD"/>
    <w:rsid w:val="0A876E4C"/>
    <w:rsid w:val="0A993186"/>
    <w:rsid w:val="0AA03A6A"/>
    <w:rsid w:val="0AE24082"/>
    <w:rsid w:val="0B04224A"/>
    <w:rsid w:val="0B344AB5"/>
    <w:rsid w:val="0B5036E2"/>
    <w:rsid w:val="0B5F2FC5"/>
    <w:rsid w:val="0B7131C7"/>
    <w:rsid w:val="0B834E34"/>
    <w:rsid w:val="0B896BF3"/>
    <w:rsid w:val="0BBF6171"/>
    <w:rsid w:val="0BE91440"/>
    <w:rsid w:val="0BED7182"/>
    <w:rsid w:val="0C234952"/>
    <w:rsid w:val="0C2A3F33"/>
    <w:rsid w:val="0C7B653C"/>
    <w:rsid w:val="0C7D22B4"/>
    <w:rsid w:val="0CA855BA"/>
    <w:rsid w:val="0CB97065"/>
    <w:rsid w:val="0D110C4F"/>
    <w:rsid w:val="0D1F511A"/>
    <w:rsid w:val="0D294AA1"/>
    <w:rsid w:val="0D3861DB"/>
    <w:rsid w:val="0D4C1C87"/>
    <w:rsid w:val="0D7D0092"/>
    <w:rsid w:val="0DB00467"/>
    <w:rsid w:val="0DC21F49"/>
    <w:rsid w:val="0DCF2553"/>
    <w:rsid w:val="0DD24882"/>
    <w:rsid w:val="0DD34156"/>
    <w:rsid w:val="0E1B69A8"/>
    <w:rsid w:val="0E2A1FC8"/>
    <w:rsid w:val="0E4F5ED2"/>
    <w:rsid w:val="0E975183"/>
    <w:rsid w:val="0F8C6CB2"/>
    <w:rsid w:val="0FA47B58"/>
    <w:rsid w:val="0FBF2BE4"/>
    <w:rsid w:val="100B5E29"/>
    <w:rsid w:val="102E6A16"/>
    <w:rsid w:val="1041184B"/>
    <w:rsid w:val="10AA73F0"/>
    <w:rsid w:val="10FD39C4"/>
    <w:rsid w:val="112278CE"/>
    <w:rsid w:val="11401B02"/>
    <w:rsid w:val="114E2471"/>
    <w:rsid w:val="114F7F97"/>
    <w:rsid w:val="116D185C"/>
    <w:rsid w:val="117619C8"/>
    <w:rsid w:val="1199598A"/>
    <w:rsid w:val="11C4086B"/>
    <w:rsid w:val="11D64215"/>
    <w:rsid w:val="12035FFE"/>
    <w:rsid w:val="123C6CE0"/>
    <w:rsid w:val="12490E8B"/>
    <w:rsid w:val="1255782F"/>
    <w:rsid w:val="12A3059B"/>
    <w:rsid w:val="12AF5192"/>
    <w:rsid w:val="1324792E"/>
    <w:rsid w:val="139A1517"/>
    <w:rsid w:val="13B660AC"/>
    <w:rsid w:val="13C95DDF"/>
    <w:rsid w:val="13EB3FA7"/>
    <w:rsid w:val="1416135D"/>
    <w:rsid w:val="1453737A"/>
    <w:rsid w:val="146B333A"/>
    <w:rsid w:val="15001CD4"/>
    <w:rsid w:val="150F3CC6"/>
    <w:rsid w:val="15194B44"/>
    <w:rsid w:val="152139F9"/>
    <w:rsid w:val="15347BD0"/>
    <w:rsid w:val="15DB44F0"/>
    <w:rsid w:val="16013F56"/>
    <w:rsid w:val="166242C9"/>
    <w:rsid w:val="16692514"/>
    <w:rsid w:val="16702E8A"/>
    <w:rsid w:val="167A7865"/>
    <w:rsid w:val="168814BF"/>
    <w:rsid w:val="16BE69A8"/>
    <w:rsid w:val="16F45869"/>
    <w:rsid w:val="17837B7E"/>
    <w:rsid w:val="179130B8"/>
    <w:rsid w:val="17CF598E"/>
    <w:rsid w:val="183F2B14"/>
    <w:rsid w:val="18495740"/>
    <w:rsid w:val="18552337"/>
    <w:rsid w:val="187D53EA"/>
    <w:rsid w:val="18846779"/>
    <w:rsid w:val="18B0756E"/>
    <w:rsid w:val="197902A7"/>
    <w:rsid w:val="19BB08C0"/>
    <w:rsid w:val="19D92AF4"/>
    <w:rsid w:val="19F618F8"/>
    <w:rsid w:val="1ABF1CEA"/>
    <w:rsid w:val="1AC12EE2"/>
    <w:rsid w:val="1B1F09DB"/>
    <w:rsid w:val="1B4B17D0"/>
    <w:rsid w:val="1B762CF0"/>
    <w:rsid w:val="1B8D3B96"/>
    <w:rsid w:val="1C246711"/>
    <w:rsid w:val="1C2564C4"/>
    <w:rsid w:val="1C7B4336"/>
    <w:rsid w:val="1C865242"/>
    <w:rsid w:val="1C9B0535"/>
    <w:rsid w:val="1CAC5E30"/>
    <w:rsid w:val="1CCC06EE"/>
    <w:rsid w:val="1CDA2E0B"/>
    <w:rsid w:val="1D181B85"/>
    <w:rsid w:val="1D24052A"/>
    <w:rsid w:val="1DC87107"/>
    <w:rsid w:val="1DD51824"/>
    <w:rsid w:val="1DED6B6E"/>
    <w:rsid w:val="1DF60118"/>
    <w:rsid w:val="1E71154D"/>
    <w:rsid w:val="1E7554E1"/>
    <w:rsid w:val="1EA01E32"/>
    <w:rsid w:val="1EB63404"/>
    <w:rsid w:val="1EE14925"/>
    <w:rsid w:val="1EEC32CA"/>
    <w:rsid w:val="1F3233D2"/>
    <w:rsid w:val="1F8B2AE2"/>
    <w:rsid w:val="20000DDB"/>
    <w:rsid w:val="20717F2A"/>
    <w:rsid w:val="207D68CF"/>
    <w:rsid w:val="20E701EC"/>
    <w:rsid w:val="20F841A8"/>
    <w:rsid w:val="211663DC"/>
    <w:rsid w:val="21262AC3"/>
    <w:rsid w:val="215018EE"/>
    <w:rsid w:val="215459A0"/>
    <w:rsid w:val="21577120"/>
    <w:rsid w:val="21725D08"/>
    <w:rsid w:val="21AF0D0A"/>
    <w:rsid w:val="21FC6B2D"/>
    <w:rsid w:val="220628F4"/>
    <w:rsid w:val="220D5A31"/>
    <w:rsid w:val="224007C3"/>
    <w:rsid w:val="224126E1"/>
    <w:rsid w:val="22477195"/>
    <w:rsid w:val="224C47AB"/>
    <w:rsid w:val="224F7DF7"/>
    <w:rsid w:val="229308FC"/>
    <w:rsid w:val="23A6613D"/>
    <w:rsid w:val="23D5257E"/>
    <w:rsid w:val="23E50309"/>
    <w:rsid w:val="24150BCD"/>
    <w:rsid w:val="24207C9D"/>
    <w:rsid w:val="242A697C"/>
    <w:rsid w:val="24724271"/>
    <w:rsid w:val="24B65F0C"/>
    <w:rsid w:val="24DD6494"/>
    <w:rsid w:val="24EA02AB"/>
    <w:rsid w:val="24ED38F7"/>
    <w:rsid w:val="256F255E"/>
    <w:rsid w:val="25826E67"/>
    <w:rsid w:val="25CE6853"/>
    <w:rsid w:val="25ED0053"/>
    <w:rsid w:val="262275D1"/>
    <w:rsid w:val="26921900"/>
    <w:rsid w:val="26B26BA7"/>
    <w:rsid w:val="26B446CD"/>
    <w:rsid w:val="26E256DE"/>
    <w:rsid w:val="27392E24"/>
    <w:rsid w:val="274A5DE6"/>
    <w:rsid w:val="278E3170"/>
    <w:rsid w:val="280C22E7"/>
    <w:rsid w:val="2815563F"/>
    <w:rsid w:val="28327F9F"/>
    <w:rsid w:val="285A5748"/>
    <w:rsid w:val="28746141"/>
    <w:rsid w:val="28754330"/>
    <w:rsid w:val="287700A8"/>
    <w:rsid w:val="28B07116"/>
    <w:rsid w:val="28CC03F4"/>
    <w:rsid w:val="2920604A"/>
    <w:rsid w:val="29341AF5"/>
    <w:rsid w:val="295B3526"/>
    <w:rsid w:val="29F86FC6"/>
    <w:rsid w:val="2A0E67EA"/>
    <w:rsid w:val="2A426494"/>
    <w:rsid w:val="2AD0584D"/>
    <w:rsid w:val="2AEA4B61"/>
    <w:rsid w:val="2AF754D0"/>
    <w:rsid w:val="2B110340"/>
    <w:rsid w:val="2B1240B8"/>
    <w:rsid w:val="2B253B3A"/>
    <w:rsid w:val="2B2F4C6A"/>
    <w:rsid w:val="2B3B716B"/>
    <w:rsid w:val="2B513870"/>
    <w:rsid w:val="2B8D373E"/>
    <w:rsid w:val="2C056886"/>
    <w:rsid w:val="2C4209CD"/>
    <w:rsid w:val="2C610E53"/>
    <w:rsid w:val="2C6E17C2"/>
    <w:rsid w:val="2C7C3EDF"/>
    <w:rsid w:val="2CC338BC"/>
    <w:rsid w:val="2D3B5B48"/>
    <w:rsid w:val="2D6055AE"/>
    <w:rsid w:val="2D662499"/>
    <w:rsid w:val="2D951D03"/>
    <w:rsid w:val="2D9B2143"/>
    <w:rsid w:val="2DAD00C8"/>
    <w:rsid w:val="2DAF2092"/>
    <w:rsid w:val="2DE13A11"/>
    <w:rsid w:val="2DF16206"/>
    <w:rsid w:val="2E3D31FA"/>
    <w:rsid w:val="2E4B30F1"/>
    <w:rsid w:val="2E8452CD"/>
    <w:rsid w:val="2E8928E3"/>
    <w:rsid w:val="2EA354B6"/>
    <w:rsid w:val="2EB37960"/>
    <w:rsid w:val="2EC21951"/>
    <w:rsid w:val="2EFC6330"/>
    <w:rsid w:val="2F3E3503"/>
    <w:rsid w:val="2F3F11F4"/>
    <w:rsid w:val="2F755AEC"/>
    <w:rsid w:val="2FA01C92"/>
    <w:rsid w:val="2FD656B4"/>
    <w:rsid w:val="2FEA5603"/>
    <w:rsid w:val="30085A89"/>
    <w:rsid w:val="307338F2"/>
    <w:rsid w:val="30B67293"/>
    <w:rsid w:val="3126266B"/>
    <w:rsid w:val="312E32CE"/>
    <w:rsid w:val="317B29B7"/>
    <w:rsid w:val="31A43590"/>
    <w:rsid w:val="31AB2B70"/>
    <w:rsid w:val="31B00187"/>
    <w:rsid w:val="31B5313F"/>
    <w:rsid w:val="31EC5663"/>
    <w:rsid w:val="322A1CE7"/>
    <w:rsid w:val="32472899"/>
    <w:rsid w:val="32E91BA2"/>
    <w:rsid w:val="32FC7B27"/>
    <w:rsid w:val="330C5891"/>
    <w:rsid w:val="33BE0883"/>
    <w:rsid w:val="33CF6FEA"/>
    <w:rsid w:val="34125129"/>
    <w:rsid w:val="34190265"/>
    <w:rsid w:val="341B17D1"/>
    <w:rsid w:val="3442561D"/>
    <w:rsid w:val="34453929"/>
    <w:rsid w:val="346A286F"/>
    <w:rsid w:val="347656B7"/>
    <w:rsid w:val="34831B82"/>
    <w:rsid w:val="34C24459"/>
    <w:rsid w:val="35076310"/>
    <w:rsid w:val="352E5F92"/>
    <w:rsid w:val="358E07DF"/>
    <w:rsid w:val="35A22F36"/>
    <w:rsid w:val="361B3D26"/>
    <w:rsid w:val="36260A17"/>
    <w:rsid w:val="3626191B"/>
    <w:rsid w:val="36657792"/>
    <w:rsid w:val="367479D5"/>
    <w:rsid w:val="368C11C2"/>
    <w:rsid w:val="369462C9"/>
    <w:rsid w:val="36A22534"/>
    <w:rsid w:val="36D87F64"/>
    <w:rsid w:val="36E903C3"/>
    <w:rsid w:val="36F86858"/>
    <w:rsid w:val="36FB56A0"/>
    <w:rsid w:val="3787198A"/>
    <w:rsid w:val="37C87FD8"/>
    <w:rsid w:val="37D82076"/>
    <w:rsid w:val="37DC7F27"/>
    <w:rsid w:val="389820A0"/>
    <w:rsid w:val="38F55984"/>
    <w:rsid w:val="3942200C"/>
    <w:rsid w:val="395A042A"/>
    <w:rsid w:val="397523E2"/>
    <w:rsid w:val="39BF18AF"/>
    <w:rsid w:val="39D569DC"/>
    <w:rsid w:val="3A2734C5"/>
    <w:rsid w:val="3A946897"/>
    <w:rsid w:val="3A9C399E"/>
    <w:rsid w:val="3AA01BE5"/>
    <w:rsid w:val="3AC71822"/>
    <w:rsid w:val="3AC84793"/>
    <w:rsid w:val="3B345984"/>
    <w:rsid w:val="3B3A23B6"/>
    <w:rsid w:val="3B3E53FE"/>
    <w:rsid w:val="3B8406BA"/>
    <w:rsid w:val="3BAE1BDB"/>
    <w:rsid w:val="3BC136BC"/>
    <w:rsid w:val="3BC46D08"/>
    <w:rsid w:val="3BCE5DD9"/>
    <w:rsid w:val="3BD57167"/>
    <w:rsid w:val="3BFA6BCE"/>
    <w:rsid w:val="3C074E47"/>
    <w:rsid w:val="3C4B567C"/>
    <w:rsid w:val="3C677755"/>
    <w:rsid w:val="3D073351"/>
    <w:rsid w:val="3D0C4E0B"/>
    <w:rsid w:val="3D127F47"/>
    <w:rsid w:val="3D22229C"/>
    <w:rsid w:val="3D51281E"/>
    <w:rsid w:val="3D89645B"/>
    <w:rsid w:val="3DC47494"/>
    <w:rsid w:val="3DEB2C72"/>
    <w:rsid w:val="3DF02037"/>
    <w:rsid w:val="3DF17B5D"/>
    <w:rsid w:val="3E241CE0"/>
    <w:rsid w:val="3E3D2DA2"/>
    <w:rsid w:val="3E3F6B1A"/>
    <w:rsid w:val="3E5E1696"/>
    <w:rsid w:val="3E86299B"/>
    <w:rsid w:val="3E953B64"/>
    <w:rsid w:val="3EA51EF8"/>
    <w:rsid w:val="3EBA2645"/>
    <w:rsid w:val="3ED25BE0"/>
    <w:rsid w:val="3ED90B6A"/>
    <w:rsid w:val="3EF43DA9"/>
    <w:rsid w:val="3EFE6FA3"/>
    <w:rsid w:val="3F122481"/>
    <w:rsid w:val="3F2006FA"/>
    <w:rsid w:val="3F82070C"/>
    <w:rsid w:val="3F874C1D"/>
    <w:rsid w:val="3F966C0E"/>
    <w:rsid w:val="3F980BD8"/>
    <w:rsid w:val="3FC512A1"/>
    <w:rsid w:val="40073668"/>
    <w:rsid w:val="40181D19"/>
    <w:rsid w:val="403A3A3D"/>
    <w:rsid w:val="406B009A"/>
    <w:rsid w:val="409A0980"/>
    <w:rsid w:val="40B97058"/>
    <w:rsid w:val="40CF0629"/>
    <w:rsid w:val="40F57964"/>
    <w:rsid w:val="412070D7"/>
    <w:rsid w:val="413466DE"/>
    <w:rsid w:val="414D154E"/>
    <w:rsid w:val="41894C7C"/>
    <w:rsid w:val="41931657"/>
    <w:rsid w:val="41D659E7"/>
    <w:rsid w:val="41F36599"/>
    <w:rsid w:val="42334BE8"/>
    <w:rsid w:val="43D47D05"/>
    <w:rsid w:val="43F316AB"/>
    <w:rsid w:val="440C56F0"/>
    <w:rsid w:val="4436276D"/>
    <w:rsid w:val="445F7F16"/>
    <w:rsid w:val="44BC2C73"/>
    <w:rsid w:val="451231DA"/>
    <w:rsid w:val="455A248C"/>
    <w:rsid w:val="457B0D80"/>
    <w:rsid w:val="458A0FC3"/>
    <w:rsid w:val="45B222C8"/>
    <w:rsid w:val="46326F64"/>
    <w:rsid w:val="464709A7"/>
    <w:rsid w:val="46731A57"/>
    <w:rsid w:val="46C027C2"/>
    <w:rsid w:val="4703102D"/>
    <w:rsid w:val="473016F6"/>
    <w:rsid w:val="47486A40"/>
    <w:rsid w:val="47C24DC9"/>
    <w:rsid w:val="47F46BC7"/>
    <w:rsid w:val="484F2050"/>
    <w:rsid w:val="485F6737"/>
    <w:rsid w:val="48BF71D5"/>
    <w:rsid w:val="48CB3DCC"/>
    <w:rsid w:val="48FA645F"/>
    <w:rsid w:val="491A440C"/>
    <w:rsid w:val="4929464F"/>
    <w:rsid w:val="49A40179"/>
    <w:rsid w:val="49A60395"/>
    <w:rsid w:val="49EA64D4"/>
    <w:rsid w:val="4A003601"/>
    <w:rsid w:val="4A037596"/>
    <w:rsid w:val="4A5B1180"/>
    <w:rsid w:val="4A6E0EB3"/>
    <w:rsid w:val="4A9621B8"/>
    <w:rsid w:val="4AE34F40"/>
    <w:rsid w:val="4AF13892"/>
    <w:rsid w:val="4B105AC6"/>
    <w:rsid w:val="4B2477C4"/>
    <w:rsid w:val="4B5E25AB"/>
    <w:rsid w:val="4B92297F"/>
    <w:rsid w:val="4B971D44"/>
    <w:rsid w:val="4BBE3774"/>
    <w:rsid w:val="4BC13264"/>
    <w:rsid w:val="4BE86A43"/>
    <w:rsid w:val="4BEA27BB"/>
    <w:rsid w:val="4BF03B4A"/>
    <w:rsid w:val="4C327CBE"/>
    <w:rsid w:val="4C6F2CC0"/>
    <w:rsid w:val="4C787DC7"/>
    <w:rsid w:val="4CA706AC"/>
    <w:rsid w:val="4CA86AD3"/>
    <w:rsid w:val="4D36558C"/>
    <w:rsid w:val="4DB43081"/>
    <w:rsid w:val="4DEA6AA2"/>
    <w:rsid w:val="4E01203E"/>
    <w:rsid w:val="4E233D62"/>
    <w:rsid w:val="4E2D4BE1"/>
    <w:rsid w:val="4E98495E"/>
    <w:rsid w:val="4EAE1A2D"/>
    <w:rsid w:val="4EB42C0C"/>
    <w:rsid w:val="4EEC684A"/>
    <w:rsid w:val="4F4A3571"/>
    <w:rsid w:val="4F535001"/>
    <w:rsid w:val="4F8B6063"/>
    <w:rsid w:val="4FD86DCF"/>
    <w:rsid w:val="4FED4628"/>
    <w:rsid w:val="4FF3043A"/>
    <w:rsid w:val="50047BC4"/>
    <w:rsid w:val="500D0826"/>
    <w:rsid w:val="500F0A42"/>
    <w:rsid w:val="501F0559"/>
    <w:rsid w:val="503264DF"/>
    <w:rsid w:val="503C55AF"/>
    <w:rsid w:val="50632B3C"/>
    <w:rsid w:val="50671DA7"/>
    <w:rsid w:val="506F328F"/>
    <w:rsid w:val="507377B9"/>
    <w:rsid w:val="50792360"/>
    <w:rsid w:val="50A32F39"/>
    <w:rsid w:val="50A8054F"/>
    <w:rsid w:val="50BB64D4"/>
    <w:rsid w:val="50BC3FFA"/>
    <w:rsid w:val="50EC48E0"/>
    <w:rsid w:val="511D718F"/>
    <w:rsid w:val="518C1C1F"/>
    <w:rsid w:val="52263E21"/>
    <w:rsid w:val="524D13AE"/>
    <w:rsid w:val="525F5585"/>
    <w:rsid w:val="528D5C4E"/>
    <w:rsid w:val="52F43F1F"/>
    <w:rsid w:val="532102A6"/>
    <w:rsid w:val="53283BC9"/>
    <w:rsid w:val="53764934"/>
    <w:rsid w:val="5382474E"/>
    <w:rsid w:val="53C733E2"/>
    <w:rsid w:val="53F8359B"/>
    <w:rsid w:val="543D36A4"/>
    <w:rsid w:val="54624C9B"/>
    <w:rsid w:val="547C5F7A"/>
    <w:rsid w:val="547F5A6B"/>
    <w:rsid w:val="548D0188"/>
    <w:rsid w:val="54BA6AA3"/>
    <w:rsid w:val="54D51B2F"/>
    <w:rsid w:val="54F46459"/>
    <w:rsid w:val="55436A98"/>
    <w:rsid w:val="55482300"/>
    <w:rsid w:val="556A2EE5"/>
    <w:rsid w:val="557B4484"/>
    <w:rsid w:val="558477DD"/>
    <w:rsid w:val="55CE2806"/>
    <w:rsid w:val="55F356A6"/>
    <w:rsid w:val="55F54236"/>
    <w:rsid w:val="55FD758F"/>
    <w:rsid w:val="56010E2D"/>
    <w:rsid w:val="56032697"/>
    <w:rsid w:val="560F1B9D"/>
    <w:rsid w:val="56933A4F"/>
    <w:rsid w:val="56A63783"/>
    <w:rsid w:val="56B91708"/>
    <w:rsid w:val="56BA0FDC"/>
    <w:rsid w:val="57081D47"/>
    <w:rsid w:val="578D049F"/>
    <w:rsid w:val="57BD6FD6"/>
    <w:rsid w:val="57E26A3C"/>
    <w:rsid w:val="57E91B79"/>
    <w:rsid w:val="57F22A4E"/>
    <w:rsid w:val="58232B8F"/>
    <w:rsid w:val="582C7CB7"/>
    <w:rsid w:val="58317E54"/>
    <w:rsid w:val="585316E8"/>
    <w:rsid w:val="58550FBC"/>
    <w:rsid w:val="585D51EA"/>
    <w:rsid w:val="58737694"/>
    <w:rsid w:val="587C0C3F"/>
    <w:rsid w:val="58C80710"/>
    <w:rsid w:val="58E6255C"/>
    <w:rsid w:val="591E5852"/>
    <w:rsid w:val="59352B9C"/>
    <w:rsid w:val="593C2FD0"/>
    <w:rsid w:val="593F3A1A"/>
    <w:rsid w:val="595C45CC"/>
    <w:rsid w:val="596671F9"/>
    <w:rsid w:val="59AF294E"/>
    <w:rsid w:val="59CD7278"/>
    <w:rsid w:val="5ABF3065"/>
    <w:rsid w:val="5ABF52A1"/>
    <w:rsid w:val="5AC05A36"/>
    <w:rsid w:val="5AFA22EF"/>
    <w:rsid w:val="5B136F0D"/>
    <w:rsid w:val="5BB57FC4"/>
    <w:rsid w:val="5C403D31"/>
    <w:rsid w:val="5C732359"/>
    <w:rsid w:val="5CA40764"/>
    <w:rsid w:val="5D28201B"/>
    <w:rsid w:val="5D4C0F43"/>
    <w:rsid w:val="5D67044C"/>
    <w:rsid w:val="5E192A8C"/>
    <w:rsid w:val="5E23390B"/>
    <w:rsid w:val="5E47493F"/>
    <w:rsid w:val="5E7B54F5"/>
    <w:rsid w:val="5ED03A93"/>
    <w:rsid w:val="5EE25574"/>
    <w:rsid w:val="5F3A0F0C"/>
    <w:rsid w:val="5F3A53B0"/>
    <w:rsid w:val="5F8E3006"/>
    <w:rsid w:val="5F8F74AA"/>
    <w:rsid w:val="60326087"/>
    <w:rsid w:val="604C539B"/>
    <w:rsid w:val="605615C5"/>
    <w:rsid w:val="60681AA9"/>
    <w:rsid w:val="60687CFB"/>
    <w:rsid w:val="609A4358"/>
    <w:rsid w:val="615A3AE7"/>
    <w:rsid w:val="615F4C5A"/>
    <w:rsid w:val="6166248C"/>
    <w:rsid w:val="61761FA3"/>
    <w:rsid w:val="61A76D0B"/>
    <w:rsid w:val="61EF4230"/>
    <w:rsid w:val="62683FE2"/>
    <w:rsid w:val="628C7CD0"/>
    <w:rsid w:val="62B965EC"/>
    <w:rsid w:val="62E775FD"/>
    <w:rsid w:val="63100901"/>
    <w:rsid w:val="6311467A"/>
    <w:rsid w:val="63212B0F"/>
    <w:rsid w:val="63416D0D"/>
    <w:rsid w:val="635911A6"/>
    <w:rsid w:val="63911317"/>
    <w:rsid w:val="639A01CB"/>
    <w:rsid w:val="63A66B70"/>
    <w:rsid w:val="63E678B4"/>
    <w:rsid w:val="641066DF"/>
    <w:rsid w:val="641B57B0"/>
    <w:rsid w:val="643F0D73"/>
    <w:rsid w:val="64760C38"/>
    <w:rsid w:val="6486074F"/>
    <w:rsid w:val="64964E36"/>
    <w:rsid w:val="64EF09EB"/>
    <w:rsid w:val="65075D34"/>
    <w:rsid w:val="6549634D"/>
    <w:rsid w:val="65921AA2"/>
    <w:rsid w:val="660A5ADC"/>
    <w:rsid w:val="66433EB1"/>
    <w:rsid w:val="665C20B0"/>
    <w:rsid w:val="668D4017"/>
    <w:rsid w:val="66903B07"/>
    <w:rsid w:val="66A24E86"/>
    <w:rsid w:val="66AE27D2"/>
    <w:rsid w:val="66B423FC"/>
    <w:rsid w:val="66FC2F4B"/>
    <w:rsid w:val="67047645"/>
    <w:rsid w:val="67095D94"/>
    <w:rsid w:val="67140294"/>
    <w:rsid w:val="677B6565"/>
    <w:rsid w:val="68A5389A"/>
    <w:rsid w:val="68BC5661"/>
    <w:rsid w:val="68DE6DAC"/>
    <w:rsid w:val="695B664F"/>
    <w:rsid w:val="69D02B99"/>
    <w:rsid w:val="69E14DA6"/>
    <w:rsid w:val="6A2B7DCF"/>
    <w:rsid w:val="6ACF10A2"/>
    <w:rsid w:val="6AD77F57"/>
    <w:rsid w:val="6AEF52A0"/>
    <w:rsid w:val="6B454EC0"/>
    <w:rsid w:val="6B630500"/>
    <w:rsid w:val="6B7C465A"/>
    <w:rsid w:val="6B833C3B"/>
    <w:rsid w:val="6C1A459F"/>
    <w:rsid w:val="6C496C32"/>
    <w:rsid w:val="6C6E6699"/>
    <w:rsid w:val="6C9205D9"/>
    <w:rsid w:val="6CAD0F6F"/>
    <w:rsid w:val="6CF272CA"/>
    <w:rsid w:val="6CF7043C"/>
    <w:rsid w:val="6D0B7AFB"/>
    <w:rsid w:val="6D7952F5"/>
    <w:rsid w:val="6DB1683D"/>
    <w:rsid w:val="6DBC33D5"/>
    <w:rsid w:val="6E34121C"/>
    <w:rsid w:val="6E4457F9"/>
    <w:rsid w:val="6E5174DD"/>
    <w:rsid w:val="6E5B49FB"/>
    <w:rsid w:val="6EBF31DC"/>
    <w:rsid w:val="6EDF73DA"/>
    <w:rsid w:val="6FA0300D"/>
    <w:rsid w:val="6FA56875"/>
    <w:rsid w:val="6FC400F4"/>
    <w:rsid w:val="6FD11419"/>
    <w:rsid w:val="6FE0340A"/>
    <w:rsid w:val="6FE940DA"/>
    <w:rsid w:val="6FF9096F"/>
    <w:rsid w:val="70025A76"/>
    <w:rsid w:val="70187047"/>
    <w:rsid w:val="709F628E"/>
    <w:rsid w:val="70A87A0C"/>
    <w:rsid w:val="70C76378"/>
    <w:rsid w:val="710D6480"/>
    <w:rsid w:val="724265FE"/>
    <w:rsid w:val="72604CD6"/>
    <w:rsid w:val="72681E8B"/>
    <w:rsid w:val="72BB015E"/>
    <w:rsid w:val="72DD6326"/>
    <w:rsid w:val="72F01BB6"/>
    <w:rsid w:val="73602EA4"/>
    <w:rsid w:val="73682094"/>
    <w:rsid w:val="73BE7F06"/>
    <w:rsid w:val="73C27BB6"/>
    <w:rsid w:val="7416564C"/>
    <w:rsid w:val="747131CA"/>
    <w:rsid w:val="749869A9"/>
    <w:rsid w:val="74B86703"/>
    <w:rsid w:val="74D177C5"/>
    <w:rsid w:val="751F6782"/>
    <w:rsid w:val="754E52B9"/>
    <w:rsid w:val="758E028C"/>
    <w:rsid w:val="75952EE8"/>
    <w:rsid w:val="75E33C54"/>
    <w:rsid w:val="76432944"/>
    <w:rsid w:val="76B5716E"/>
    <w:rsid w:val="76CA6BC2"/>
    <w:rsid w:val="773C7ABF"/>
    <w:rsid w:val="775070C7"/>
    <w:rsid w:val="77520493"/>
    <w:rsid w:val="7767567E"/>
    <w:rsid w:val="77732DB5"/>
    <w:rsid w:val="779F1DFC"/>
    <w:rsid w:val="77B05DB7"/>
    <w:rsid w:val="77B51620"/>
    <w:rsid w:val="77F446EC"/>
    <w:rsid w:val="77F57C6E"/>
    <w:rsid w:val="783E33C3"/>
    <w:rsid w:val="78961451"/>
    <w:rsid w:val="78F63C9E"/>
    <w:rsid w:val="79030169"/>
    <w:rsid w:val="793B5B55"/>
    <w:rsid w:val="79427311"/>
    <w:rsid w:val="79534C4C"/>
    <w:rsid w:val="796432FD"/>
    <w:rsid w:val="79780B57"/>
    <w:rsid w:val="79876FEC"/>
    <w:rsid w:val="79C142AC"/>
    <w:rsid w:val="79C873E7"/>
    <w:rsid w:val="7A49604F"/>
    <w:rsid w:val="7A533816"/>
    <w:rsid w:val="7A6335B5"/>
    <w:rsid w:val="7A6A04A0"/>
    <w:rsid w:val="7A70182E"/>
    <w:rsid w:val="7A7E219D"/>
    <w:rsid w:val="7AE44FEF"/>
    <w:rsid w:val="7B3D3E06"/>
    <w:rsid w:val="7B430CF1"/>
    <w:rsid w:val="7B6273C9"/>
    <w:rsid w:val="7B7A6E08"/>
    <w:rsid w:val="7B862F60"/>
    <w:rsid w:val="7BB5399C"/>
    <w:rsid w:val="7BFA1CF7"/>
    <w:rsid w:val="7BFD3F26"/>
    <w:rsid w:val="7C0641F8"/>
    <w:rsid w:val="7C2E2E90"/>
    <w:rsid w:val="7C5807CC"/>
    <w:rsid w:val="7C6453C2"/>
    <w:rsid w:val="7CBC6FAC"/>
    <w:rsid w:val="7CBE2881"/>
    <w:rsid w:val="7CCC3693"/>
    <w:rsid w:val="7CD9190C"/>
    <w:rsid w:val="7CF84488"/>
    <w:rsid w:val="7D272678"/>
    <w:rsid w:val="7D5A0C9F"/>
    <w:rsid w:val="7D9F66B2"/>
    <w:rsid w:val="7DD13528"/>
    <w:rsid w:val="7DF804B8"/>
    <w:rsid w:val="7E0230E5"/>
    <w:rsid w:val="7E0B1F99"/>
    <w:rsid w:val="7E2D5078"/>
    <w:rsid w:val="7E617E0B"/>
    <w:rsid w:val="7E9957F7"/>
    <w:rsid w:val="7EF70770"/>
    <w:rsid w:val="7F2B148C"/>
    <w:rsid w:val="7F6F47AA"/>
    <w:rsid w:val="7FA06711"/>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left="420" w:leftChars="200"/>
    </w:pPr>
  </w:style>
  <w:style w:type="paragraph" w:styleId="4">
    <w:name w:val="toc 3"/>
    <w:basedOn w:val="1"/>
    <w:next w:val="1"/>
    <w:qFormat/>
    <w:uiPriority w:val="0"/>
    <w:pPr>
      <w:ind w:left="840" w:leftChars="400"/>
    </w:pPr>
  </w:style>
  <w:style w:type="paragraph" w:styleId="5">
    <w:name w:val="footer"/>
    <w:basedOn w:val="1"/>
    <w:link w:val="11"/>
    <w:semiHidden/>
    <w:unhideWhenUsed/>
    <w:qFormat/>
    <w:uiPriority w:val="99"/>
    <w:pPr>
      <w:tabs>
        <w:tab w:val="center" w:pos="4153"/>
        <w:tab w:val="right" w:pos="8306"/>
      </w:tabs>
      <w:snapToGrid w:val="0"/>
      <w:jc w:val="left"/>
    </w:pPr>
    <w:rPr>
      <w:sz w:val="18"/>
    </w:rPr>
  </w:style>
  <w:style w:type="paragraph" w:styleId="6">
    <w:name w:val="header"/>
    <w:basedOn w:val="1"/>
    <w:link w:val="10"/>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val="0"/>
      <w:adjustRightInd/>
      <w:snapToGrid/>
      <w:spacing w:before="100" w:beforeAutospacing="1" w:after="100" w:afterAutospacing="1"/>
    </w:pPr>
    <w:rPr>
      <w:rFonts w:ascii="Calibri" w:hAnsi="Calibri" w:eastAsia="宋体" w:cs="Times New Roman"/>
      <w:sz w:val="24"/>
      <w:szCs w:val="24"/>
    </w:r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4643</Words>
  <Characters>5505</Characters>
  <Lines>9</Lines>
  <Paragraphs>2</Paragraphs>
  <TotalTime>42</TotalTime>
  <ScaleCrop>false</ScaleCrop>
  <LinksUpToDate>false</LinksUpToDate>
  <CharactersWithSpaces>5535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拥之则安</cp:lastModifiedBy>
  <cp:lastPrinted>2022-12-28T09:46:00Z</cp:lastPrinted>
  <dcterms:modified xsi:type="dcterms:W3CDTF">2023-01-09T04:09:37Z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9AAF2453B3514C8FAF459D5B3EDF035D</vt:lpwstr>
  </property>
</Properties>
</file>